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C0C46">
      <w:pPr>
        <w:widowControl w:val="0"/>
        <w:autoSpaceDE w:val="0"/>
        <w:autoSpaceDN w:val="0"/>
        <w:adjustRightInd w:val="0"/>
        <w:rPr>
          <w:lang w:val="en-GB" w:eastAsia="en-GB"/>
        </w:rPr>
      </w:pPr>
      <w:bookmarkStart w:id="0" w:name="_GoBack"/>
      <w:bookmarkEnd w:id="0"/>
    </w:p>
    <w:p w:rsidR="00000000" w:rsidRDefault="002C0C46">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AM110507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DILUENTE 202 M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number</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603-177-00-8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number</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259-370-9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number</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54839-24-6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2C0C46">
            <w:pPr>
              <w:widowControl w:val="0"/>
              <w:autoSpaceDE w:val="0"/>
              <w:autoSpaceDN w:val="0"/>
              <w:adjustRightInd w:val="0"/>
              <w:jc w:val="center"/>
              <w:rPr>
                <w:lang w:val="en-GB" w:eastAsia="en-GB"/>
              </w:rPr>
            </w:pPr>
          </w:p>
        </w:tc>
      </w:tr>
    </w:tbl>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diluente organico.</w:t>
            </w:r>
          </w:p>
        </w:tc>
      </w:tr>
    </w:tbl>
    <w:p w:rsidR="00000000" w:rsidRDefault="002C0C46">
      <w:pPr>
        <w:widowControl w:val="0"/>
        <w:autoSpaceDE w:val="0"/>
        <w:autoSpaceDN w:val="0"/>
        <w:adjustRightInd w:val="0"/>
        <w:jc w:val="center"/>
        <w:rPr>
          <w:lang w:val="en-GB" w:eastAsia="en-GB"/>
        </w:rPr>
      </w:pPr>
    </w:p>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2C0C46">
            <w:pPr>
              <w:widowControl w:val="0"/>
              <w:autoSpaceDE w:val="0"/>
              <w:autoSpaceDN w:val="0"/>
              <w:adjustRightInd w:val="0"/>
              <w:jc w:val="center"/>
              <w:rPr>
                <w:lang w:val="en-GB" w:eastAsia="en-GB"/>
              </w:rPr>
            </w:pPr>
          </w:p>
        </w:tc>
      </w:tr>
    </w:tbl>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2C0C46">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2C0C46">
      <w:pPr>
        <w:widowControl w:val="0"/>
        <w:autoSpaceDE w:val="0"/>
        <w:autoSpaceDN w:val="0"/>
        <w:adjustRightInd w:val="0"/>
        <w:jc w:val="center"/>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w:t>
      </w:r>
      <w:r>
        <w:rPr>
          <w:rFonts w:ascii="Arial" w:hAnsi="Arial" w:cs="Arial"/>
          <w:color w:val="000000"/>
          <w:sz w:val="16"/>
          <w:szCs w:val="16"/>
          <w:lang w:val="en-GB" w:eastAsia="en-GB"/>
        </w:rPr>
        <w:t>s requires a safety datasheet that complies with the provisions of (EU) Regulation 2015/830.</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additional information concerning the risks for health and/or the environment are given in sections 11 and 12 of this sheet.</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w:t>
      </w:r>
      <w:r>
        <w:rPr>
          <w:rFonts w:ascii="Arial" w:hAnsi="Arial" w:cs="Arial"/>
          <w:color w:val="000000"/>
          <w:sz w:val="16"/>
          <w:szCs w:val="16"/>
          <w:lang w:val="en-GB" w:eastAsia="en-GB"/>
        </w:rPr>
        <w: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000000">
        <w:tblPrEx>
          <w:tblCellMar>
            <w:top w:w="0" w:type="dxa"/>
            <w:bottom w:w="0" w:type="dxa"/>
          </w:tblCellMar>
        </w:tblPrEx>
        <w:tc>
          <w:tcPr>
            <w:tcW w:w="4536"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Flammable liquid, category 3</w:t>
            </w:r>
          </w:p>
        </w:tc>
        <w:tc>
          <w:tcPr>
            <w:tcW w:w="1701"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H226</w:t>
            </w:r>
          </w:p>
        </w:tc>
        <w:tc>
          <w:tcPr>
            <w:tcW w:w="4536"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4536"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Specific target organ toxicity - single exposure, category 3</w:t>
            </w:r>
          </w:p>
        </w:tc>
        <w:tc>
          <w:tcPr>
            <w:tcW w:w="1701"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H336</w:t>
            </w:r>
          </w:p>
        </w:tc>
        <w:tc>
          <w:tcPr>
            <w:tcW w:w="4536"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r w:rsidR="00000000">
        <w:tblPrEx>
          <w:tblCellMar>
            <w:top w:w="0" w:type="dxa"/>
            <w:bottom w:w="0" w:type="dxa"/>
          </w:tblCellMar>
        </w:tblPrEx>
        <w:tc>
          <w:tcPr>
            <w:tcW w:w="4536"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rsidR="00000000" w:rsidRDefault="002C0C46">
            <w:pPr>
              <w:widowControl w:val="0"/>
              <w:autoSpaceDE w:val="0"/>
              <w:autoSpaceDN w:val="0"/>
              <w:adjustRightInd w:val="0"/>
              <w:jc w:val="both"/>
              <w:rPr>
                <w:lang w:val="en-GB" w:eastAsia="en-GB"/>
              </w:rPr>
            </w:pPr>
          </w:p>
        </w:tc>
        <w:tc>
          <w:tcPr>
            <w:tcW w:w="4536" w:type="dxa"/>
            <w:shd w:val="clear" w:color="auto" w:fill="FFFFFF"/>
          </w:tcPr>
          <w:p w:rsidR="00000000" w:rsidRDefault="002C0C46">
            <w:pPr>
              <w:widowControl w:val="0"/>
              <w:autoSpaceDE w:val="0"/>
              <w:autoSpaceDN w:val="0"/>
              <w:adjustRightInd w:val="0"/>
              <w:jc w:val="both"/>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000000">
        <w:tblPrEx>
          <w:tblCellMar>
            <w:top w:w="0" w:type="dxa"/>
            <w:bottom w:w="0" w:type="dxa"/>
          </w:tblCellMar>
        </w:tblPrEx>
        <w:tc>
          <w:tcPr>
            <w:tcW w:w="1984" w:type="dxa"/>
            <w:gridSpan w:val="2"/>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rPr>
          <w:gridAfter w:val="1"/>
          <w:wAfter w:w="853" w:type="dxa"/>
        </w:trPr>
        <w:tc>
          <w:tcPr>
            <w:tcW w:w="1417"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r>
              <w:rPr>
                <w:noProof/>
                <w:lang w:val="en-GB" w:eastAsia="en-GB"/>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margin">
                        <wp:posOffset>0</wp:posOffset>
                      </wp:positionV>
                      <wp:extent cx="0" cy="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DBD1D"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6HzHNR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rsidR="00000000" w:rsidRDefault="002C0C46">
            <w:pPr>
              <w:widowControl w:val="0"/>
              <w:autoSpaceDE w:val="0"/>
              <w:autoSpaceDN w:val="0"/>
              <w:adjustRightInd w:val="0"/>
              <w:jc w:val="both"/>
              <w:rPr>
                <w:lang w:val="en-GB" w:eastAsia="en-GB"/>
              </w:rPr>
            </w:pPr>
            <w:r>
              <w:rPr>
                <w:noProof/>
                <w:lang w:val="en-GB" w:eastAsia="en-GB"/>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margin">
                        <wp:posOffset>0</wp:posOffset>
                      </wp:positionV>
                      <wp:extent cx="0" cy="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E50E3" id="Rectangle 6"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XKLeGh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1417" w:type="dxa"/>
            <w:shd w:val="clear" w:color="auto" w:fill="FFFFFF"/>
          </w:tcPr>
          <w:p w:rsidR="00000000" w:rsidRDefault="002C0C46">
            <w:pPr>
              <w:widowControl w:val="0"/>
              <w:autoSpaceDE w:val="0"/>
              <w:autoSpaceDN w:val="0"/>
              <w:adjustRightInd w:val="0"/>
              <w:jc w:val="both"/>
              <w:rPr>
                <w:lang w:val="en-GB" w:eastAsia="en-GB"/>
              </w:rPr>
            </w:pP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H226</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H336</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P210</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Keep away from heat, hot surfaces, sparks, open flames and other ignition sources. No smoking.</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P261</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Avoid breathing dust / fume / gas / mist / vapours / spray.</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Wear protective gloves/ protective clothing / eye protection / face protection.</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P312</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Call a POISON CENTRE / doctor / . . . if you feel unwell.</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P370+P378</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In case of fire: use . . . to extinguish.</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P403+P233</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Store in a well-ventilated place. Keep container tightly closed.</w:t>
            </w: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2C0C46">
            <w:pPr>
              <w:widowControl w:val="0"/>
              <w:autoSpaceDE w:val="0"/>
              <w:autoSpaceDN w:val="0"/>
              <w:adjustRightInd w:val="0"/>
              <w:jc w:val="both"/>
              <w:rPr>
                <w:lang w:val="en-GB" w:eastAsia="en-GB"/>
              </w:rPr>
            </w:pP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2-ETHOXY-1-METHYLETHYL ACETATE</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w:t>
            </w:r>
          </w:p>
        </w:tc>
        <w:tc>
          <w:tcPr>
            <w:tcW w:w="878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603-177-00-8</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DIPROPYLENE GLYCOL MONOMETHYL ETHER</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34590-94-8</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252-104-2</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2-ETHOXY-1-METHYLETHYL ACETATE</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54839-24-6</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50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100</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Flam. Liq. 3 H226, STOT SE 3 H336</w:t>
            </w: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259-370-9</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603-177-00-8</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c>
          <w:tcPr>
            <w:tcW w:w="567"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EYES: Remove contact lenses, if present. Wash immediately with plenty of water for at least 15 minutes, opening the eyelids fully. If problem persists, seek medical advice.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Wash immediately with plenty of water. If irrit</w:t>
      </w:r>
      <w:r>
        <w:rPr>
          <w:rFonts w:ascii="Arial" w:hAnsi="Arial" w:cs="Arial"/>
          <w:color w:val="000000"/>
          <w:sz w:val="16"/>
          <w:szCs w:val="16"/>
          <w:lang w:val="en-GB" w:eastAsia="en-GB"/>
        </w:rPr>
        <w:t>ation persists, get medical advice/attention. Wash contaminated clothing before using it again.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In the event of breathing difficulties, get medical advice/attention immediately.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Induc</w:t>
      </w:r>
      <w:r>
        <w:rPr>
          <w:rFonts w:ascii="Arial" w:hAnsi="Arial" w:cs="Arial"/>
          <w:color w:val="000000"/>
          <w:sz w:val="16"/>
          <w:szCs w:val="16"/>
          <w:lang w:val="en-GB" w:eastAsia="en-GB"/>
        </w:rPr>
        <w:t>e vomiting only if indicated by the doctor. Never give anything by mouth to an unconscious person, unless authorised by a doctor.</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Extinguishing sub</w:t>
      </w:r>
      <w:r>
        <w:rPr>
          <w:rFonts w:ascii="Arial" w:hAnsi="Arial" w:cs="Arial"/>
          <w:color w:val="000000"/>
          <w:sz w:val="16"/>
          <w:szCs w:val="16"/>
          <w:lang w:val="en-GB" w:eastAsia="en-GB"/>
        </w:rPr>
        <w:t>stances are: carbon dioxide, foam, chemical powder. For product loss or leakage that has not caught fire, water spray can be used to disperse flammable vapours and protect those trying to stem the leak.</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use jets of</w:t>
      </w:r>
      <w:r>
        <w:rPr>
          <w:rFonts w:ascii="Arial" w:hAnsi="Arial" w:cs="Arial"/>
          <w:color w:val="000000"/>
          <w:sz w:val="16"/>
          <w:szCs w:val="16"/>
          <w:lang w:val="en-GB" w:eastAsia="en-GB"/>
        </w:rPr>
        <w:t xml:space="preserve"> water. Water is not effective for putting out fires but can be used to cool containers exposed to flames to prevent explosions.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Excess pressure may form in containers exposed to fire at a risk of explosion. Do not breathe combustion products.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w:t>
      </w:r>
      <w:r>
        <w:rPr>
          <w:rFonts w:ascii="Arial" w:hAnsi="Arial" w:cs="Arial"/>
          <w:color w:val="000000"/>
          <w:sz w:val="16"/>
          <w:szCs w:val="16"/>
          <w:lang w:val="en-GB" w:eastAsia="en-GB"/>
        </w:rPr>
        <w:t>ent of substances potentially hazardous for health. Always wear full fire prevention gear. Collect extinguishing water to prevent it from draining into the sewer system. Dispose of contaminated water used for extinction and the remains of the fire accordin</w:t>
      </w:r>
      <w:r>
        <w:rPr>
          <w:rFonts w:ascii="Arial" w:hAnsi="Arial" w:cs="Arial"/>
          <w:color w:val="000000"/>
          <w:sz w:val="16"/>
          <w:szCs w:val="16"/>
          <w:lang w:val="en-GB" w:eastAsia="en-GB"/>
        </w:rPr>
        <w:t>g to applicable regulations.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w:t>
      </w:r>
      <w:r>
        <w:rPr>
          <w:rFonts w:ascii="Arial" w:hAnsi="Arial" w:cs="Arial"/>
          <w:color w:val="000000"/>
          <w:sz w:val="16"/>
          <w:szCs w:val="16"/>
          <w:lang w:val="en-GB" w:eastAsia="en-GB"/>
        </w:rPr>
        <w:t>re compressed air breathing apparatus (BS EN 137).</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w:t>
      </w:r>
      <w:r>
        <w:rPr>
          <w:rFonts w:ascii="Arial" w:hAnsi="Arial" w:cs="Arial"/>
          <w:color w:val="000000"/>
          <w:sz w:val="16"/>
          <w:szCs w:val="16"/>
          <w:lang w:val="en-GB" w:eastAsia="en-GB"/>
        </w:rPr>
        <w:t>personal protective equipment referred to under Section 8 of the safety data sheet) to prevent any contamination of skin, eyes and personal clothing. These indications apply for both processing staff and those involved in emergency procedures.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Send away i</w:t>
      </w:r>
      <w:r>
        <w:rPr>
          <w:rFonts w:ascii="Arial" w:hAnsi="Arial" w:cs="Arial"/>
          <w:color w:val="000000"/>
          <w:sz w:val="16"/>
          <w:szCs w:val="16"/>
          <w:lang w:val="en-GB" w:eastAsia="en-GB"/>
        </w:rPr>
        <w:t>ndividuals who are not suitably equipped. Eliminate all sources of ignition (cigarettes, flames, sparks, etc.) from the leakage site.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sewer system or come into contact with surface water or ground water.</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w:t>
      </w:r>
      <w:r>
        <w:rPr>
          <w:rFonts w:ascii="Arial" w:hAnsi="Arial" w:cs="Arial"/>
          <w:color w:val="000000"/>
          <w:sz w:val="16"/>
          <w:szCs w:val="16"/>
          <w:lang w:val="en-GB" w:eastAsia="en-GB"/>
        </w:rPr>
        <w:t xml:space="preserve"> explosion-proof equipment. Evaluate the compatibility of the container to be used, by checking section 10. Absorb the remainder with inert absorbent material.</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w:t>
      </w:r>
      <w:r>
        <w:rPr>
          <w:rFonts w:ascii="Arial" w:hAnsi="Arial" w:cs="Arial"/>
          <w:color w:val="000000"/>
          <w:sz w:val="16"/>
          <w:szCs w:val="16"/>
          <w:lang w:val="en-GB" w:eastAsia="en-GB"/>
        </w:rPr>
        <w:t>nce with the provisions set forth in point 13.</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away from hea</w:t>
      </w:r>
      <w:r>
        <w:rPr>
          <w:rFonts w:ascii="Arial" w:hAnsi="Arial" w:cs="Arial"/>
          <w:color w:val="000000"/>
          <w:sz w:val="16"/>
          <w:szCs w:val="16"/>
          <w:lang w:val="en-GB" w:eastAsia="en-GB"/>
        </w:rPr>
        <w:t xml:space="preserve">t, sparks and naked flames; do not smoke or use matches or lighters. Without adequate ventilation, vapours may accumulate at ground level and, if ignited, catch fire even at a distance, with the danger of backfire. Avoid bunching of electrostatic charges. </w:t>
      </w:r>
      <w:r>
        <w:rPr>
          <w:rFonts w:ascii="Arial" w:hAnsi="Arial" w:cs="Arial"/>
          <w:color w:val="000000"/>
          <w:sz w:val="16"/>
          <w:szCs w:val="16"/>
          <w:lang w:val="en-GB" w:eastAsia="en-GB"/>
        </w:rPr>
        <w:t>Do not eat, drink or smoke during use. Remove any contaminated clothes and personal protective equipment before entering places in which people eat. Avoid leakage of the product into the environment.</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including any incompatibilities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Store only in the original container. Store in a well ventilated place, keep far away from sources of heat, naked flames and sparks and other sources of ignition. Keep containers away from </w:t>
      </w:r>
      <w:r>
        <w:rPr>
          <w:rFonts w:ascii="Arial" w:hAnsi="Arial" w:cs="Arial"/>
          <w:color w:val="000000"/>
          <w:sz w:val="16"/>
          <w:szCs w:val="16"/>
          <w:lang w:val="en-GB" w:eastAsia="en-GB"/>
        </w:rPr>
        <w:t xml:space="preserve">any incompatible materials, see section 10 for details. </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DEU</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20"/>
                <w:szCs w:val="20"/>
                <w:lang w:val="en-GB" w:eastAsia="en-GB"/>
              </w:rPr>
              <w:t>Deutschland</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20"/>
                <w:szCs w:val="20"/>
                <w:lang w:val="en-GB" w:eastAsia="en-GB"/>
              </w:rPr>
              <w:t>TRGS 900 (Fassung 4.11.2016) - Liste der Arbeitsplatzgrenzwerte und Kurzzeitwerte</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ESP</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España</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INSHT - Límites de exposición profesional para agentes químicos en España 2017</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FRA</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France</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JORF n°0109 du 10 mai 2012 page 8773  texte n° 102</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GBR</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United Kingdom</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EH40/2005 Workplace exposure limits</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ITA</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Italia</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Decreto Legislativo 9 Aprile 2008, n.81</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ROZPORZĄDZENIE MINISTRA PRACY I POLITYKI SPOŁECZNEJ z dnia 7 czerwca 2017 r</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EU</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OEL EU</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Directive (EU) 2017/164; Directive 2009/161/EU; Directive 2006/15/EC; Directive 2004/37/EC; Directive 2000/39/EC; Directive 91/322/EEC.</w:t>
            </w:r>
          </w:p>
        </w:tc>
      </w:tr>
      <w:tr w:rsidR="00000000">
        <w:tblPrEx>
          <w:tblCellMar>
            <w:top w:w="0" w:type="dxa"/>
            <w:bottom w:w="0" w:type="dxa"/>
          </w:tblCellMar>
        </w:tblPrEx>
        <w:tc>
          <w:tcPr>
            <w:tcW w:w="1134"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2268"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TLV-ACGIH</w:t>
            </w:r>
          </w:p>
        </w:tc>
        <w:tc>
          <w:tcPr>
            <w:tcW w:w="680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ACGIH 2017</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2-ETHOXY-1-METHYLETHYL ACETATE</w:t>
            </w:r>
          </w:p>
        </w:tc>
      </w:tr>
      <w:tr w:rsidR="00000000">
        <w:tblPrEx>
          <w:tblCellMar>
            <w:top w:w="0" w:type="dxa"/>
            <w:bottom w:w="0" w:type="dxa"/>
          </w:tblCellMar>
        </w:tblPrEx>
        <w:tc>
          <w:tcPr>
            <w:tcW w:w="10773" w:type="dxa"/>
            <w:gridSpan w:val="8"/>
            <w:shd w:val="clear" w:color="auto" w:fill="D3D3D3"/>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AGW</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600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300</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600</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701"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DIPROPYLENE GLYCOL MONOMETHYL ETHER</w:t>
            </w:r>
          </w:p>
        </w:tc>
      </w:tr>
      <w:tr w:rsidR="00000000">
        <w:tblPrEx>
          <w:tblCellMar>
            <w:top w:w="0" w:type="dxa"/>
            <w:bottom w:w="0" w:type="dxa"/>
          </w:tblCellMar>
        </w:tblPrEx>
        <w:tc>
          <w:tcPr>
            <w:tcW w:w="10773" w:type="dxa"/>
            <w:gridSpan w:val="8"/>
            <w:shd w:val="clear" w:color="auto" w:fill="D3D3D3"/>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jc w:val="both"/>
              <w:rPr>
                <w:lang w:val="en-GB" w:eastAsia="en-GB"/>
              </w:rPr>
            </w:pPr>
            <w:r>
              <w:rPr>
                <w:lang w:val="en-GB" w:eastAsia="en-GB"/>
              </w:rPr>
              <w:lastRenderedPageBreak/>
              <w:t xml:space="preserve"> </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310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310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308</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FRA</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308</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WEL</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GBR</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308</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ITA</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308</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240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480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308</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tcBorders>
              <w:top w:val="single" w:sz="6" w:space="0" w:color="auto"/>
              <w:bottom w:val="single" w:sz="6" w:space="0" w:color="auto"/>
            </w:tcBorders>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606</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909</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 xml:space="preserve"> 150</w:t>
            </w: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4"/>
                <w:szCs w:val="14"/>
                <w:lang w:val="en-GB" w:eastAsia="en-GB"/>
              </w:rPr>
              <w:t>SKIN</w:t>
            </w:r>
          </w:p>
        </w:tc>
        <w:tc>
          <w:tcPr>
            <w:tcW w:w="1701"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w:t>
      </w:r>
      <w:r>
        <w:rPr>
          <w:rFonts w:ascii="Arial" w:hAnsi="Arial" w:cs="Arial"/>
          <w:color w:val="000000"/>
          <w:sz w:val="16"/>
          <w:szCs w:val="16"/>
          <w:lang w:val="en-GB" w:eastAsia="en-GB"/>
        </w:rPr>
        <w:t xml:space="preserve"> supplier for advice.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following should be considered when choosing </w:t>
      </w:r>
      <w:r>
        <w:rPr>
          <w:rFonts w:ascii="Arial" w:hAnsi="Arial" w:cs="Arial"/>
          <w:color w:val="000000"/>
          <w:sz w:val="16"/>
          <w:szCs w:val="16"/>
          <w:lang w:val="en-GB" w:eastAsia="en-GB"/>
        </w:rPr>
        <w:t>work glove material: compatibility, degradation, failure time and permeability.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 wear time depends on the duration and type of use.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w:t>
      </w:r>
      <w:r>
        <w:rPr>
          <w:rFonts w:ascii="Arial" w:hAnsi="Arial" w:cs="Arial"/>
          <w:color w:val="000000"/>
          <w:sz w:val="16"/>
          <w:szCs w:val="16"/>
          <w:lang w:val="en-GB" w:eastAsia="en-GB"/>
        </w:rPr>
        <w:t>OTECTION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clothing.</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Consider the appropriateness of providing antistatic cl</w:t>
      </w:r>
      <w:r>
        <w:rPr>
          <w:rFonts w:ascii="Arial" w:hAnsi="Arial" w:cs="Arial"/>
          <w:color w:val="000000"/>
          <w:sz w:val="16"/>
          <w:szCs w:val="16"/>
          <w:lang w:val="en-GB" w:eastAsia="en-GB"/>
        </w:rPr>
        <w:t>othing in the case of working environments in which there is a risk of explosion.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If the threshold value (e.g. TLV-TWA) is exceeded for the substance or one of </w:t>
      </w:r>
      <w:r>
        <w:rPr>
          <w:rFonts w:ascii="Arial" w:hAnsi="Arial" w:cs="Arial"/>
          <w:color w:val="000000"/>
          <w:sz w:val="16"/>
          <w:szCs w:val="16"/>
          <w:lang w:val="en-GB" w:eastAsia="en-GB"/>
        </w:rPr>
        <w:t>the substances present in the product, use a mask with a type A filter whose class (1, 2 or 3) must be chosen according to the limit of use concentration. (see standard EN 14387). In the presence of gases or vapours of various kinds and/or gases or vapours</w:t>
      </w:r>
      <w:r>
        <w:rPr>
          <w:rFonts w:ascii="Arial" w:hAnsi="Arial" w:cs="Arial"/>
          <w:color w:val="000000"/>
          <w:sz w:val="16"/>
          <w:szCs w:val="16"/>
          <w:lang w:val="en-GB" w:eastAsia="en-GB"/>
        </w:rPr>
        <w:t xml:space="preserve"> containing particulate (aerosol sprays, fumes, mists, etc.) combined filters are required.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w:t>
      </w:r>
      <w:r>
        <w:rPr>
          <w:rFonts w:ascii="Arial" w:hAnsi="Arial" w:cs="Arial"/>
          <w:color w:val="000000"/>
          <w:sz w:val="16"/>
          <w:szCs w:val="16"/>
          <w:lang w:val="en-GB" w:eastAsia="en-GB"/>
        </w:rPr>
        <w:t>red. The protection provided by masks is in any case limited.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w:t>
      </w:r>
      <w:r>
        <w:rPr>
          <w:rFonts w:ascii="Arial" w:hAnsi="Arial" w:cs="Arial"/>
          <w:color w:val="000000"/>
          <w:sz w:val="16"/>
          <w:szCs w:val="16"/>
          <w:lang w:val="en-GB" w:eastAsia="en-GB"/>
        </w:rPr>
        <w:t xml:space="preserve"> (in compliance with standard EN 137) or external air-intake breathing apparatus (in compliance with standard EN 138). For a correct choice of respiratory protection device, see standard EN 529.</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w:t>
            </w:r>
            <w:r>
              <w:rPr>
                <w:rFonts w:ascii="Arial" w:hAnsi="Arial" w:cs="Arial"/>
                <w:b/>
                <w:bCs/>
                <w:color w:val="000000"/>
                <w:sz w:val="16"/>
                <w:szCs w:val="16"/>
                <w:lang w:val="en-GB" w:eastAsia="en-GB"/>
              </w:rPr>
              <w:t xml:space="preserve"> and chemical properties</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colourless</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23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T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60    °C</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w:t>
            </w:r>
            <w:r>
              <w:rPr>
                <w:rFonts w:ascii="Arial" w:hAnsi="Arial" w:cs="Arial"/>
                <w:color w:val="000000"/>
                <w:sz w:val="16"/>
                <w:szCs w:val="16"/>
                <w:lang w:val="en-GB" w:eastAsia="en-GB"/>
              </w:rPr>
              <w:t>imit</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soluble in water</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100,00 %    -    945,97    g/litre</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57,07 %    -    539,87    g/litre</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react with: oxidising substances.When heated to decomposition releases: harsh fumes,zinc alloys.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vapours may also f</w:t>
      </w:r>
      <w:r>
        <w:rPr>
          <w:rFonts w:ascii="Arial" w:hAnsi="Arial" w:cs="Arial"/>
          <w:color w:val="000000"/>
          <w:sz w:val="16"/>
          <w:szCs w:val="16"/>
          <w:lang w:val="en-GB" w:eastAsia="en-GB"/>
        </w:rPr>
        <w:t>orm explosive mixtures with the air.</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Avoid overheating. Avoid bunching of electrostatic charges. Avoid all sources of ignition.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event of thermal decomposition or fire, gases and vapours that are potentially dangerous to health may be released.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w:t>
      </w:r>
      <w:r>
        <w:rPr>
          <w:rFonts w:ascii="Arial" w:hAnsi="Arial" w:cs="Arial"/>
          <w:color w:val="000000"/>
          <w:sz w:val="16"/>
          <w:szCs w:val="16"/>
          <w:u w:val="single"/>
          <w:lang w:val="en-GB" w:eastAsia="en-GB"/>
        </w:rPr>
        <w:t>n and other information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DIPROPYLENE GLYCOL MONOMETHYL ETHER</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&gt; 5000 mg/kg ratto</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&gt; 19020 mg/kg coniglio</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&gt; 275 ppm/4h ratto</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2-ETHOXY-1-METHYLETHYL ACETATE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w:t>
      </w:r>
      <w:r>
        <w:rPr>
          <w:rFonts w:ascii="Arial" w:hAnsi="Arial" w:cs="Arial"/>
          <w:color w:val="000000"/>
          <w:sz w:val="16"/>
          <w:szCs w:val="16"/>
          <w:lang w:val="en-GB" w:eastAsia="en-GB"/>
        </w:rPr>
        <w:t>ion) 6,99 mg/l/4h Rat</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lastRenderedPageBreak/>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w:t>
      </w:r>
      <w:r>
        <w:rPr>
          <w:rFonts w:ascii="Arial" w:hAnsi="Arial" w:cs="Arial"/>
          <w:color w:val="000000"/>
          <w:sz w:val="16"/>
          <w:szCs w:val="16"/>
          <w:u w:val="single"/>
          <w:lang w:val="en-GB" w:eastAsia="en-GB"/>
        </w:rPr>
        <w: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May cause drowsiness or dizziness</w:t>
      </w: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w:t>
      </w:r>
      <w:r>
        <w:rPr>
          <w:rFonts w:ascii="Arial" w:hAnsi="Arial" w:cs="Arial"/>
          <w:color w:val="000000"/>
          <w:sz w:val="16"/>
          <w:szCs w:val="16"/>
          <w:lang w:val="en-GB" w:eastAsia="en-GB"/>
        </w:rPr>
        <w:t>te soil or vegetation.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DIPROPYLENE GLYCOL MONOMETHYL ETHER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&gt; 10000 mg/l/96h</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1919 mg/l/48h Daphnia magna</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&gt; 969 mg/l/72h selenastrum capricornutum</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DIPROPYLENE GLYCOL MONOMETHYL ETHER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1000 - 10000 mg/l</w:t>
            </w:r>
          </w:p>
        </w:tc>
      </w:tr>
    </w:tbl>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&gt; 10000 mg/l </w:t>
            </w:r>
          </w:p>
        </w:tc>
      </w:tr>
    </w:tbl>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DIPROPYLENE GLYCOL MONOMETHYL ETHER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0,0043 </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0,76 </w:t>
            </w: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BCF</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3,162 </w:t>
            </w:r>
          </w:p>
        </w:tc>
      </w:tr>
    </w:tbl>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soil/water</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5670"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 xml:space="preserve">1 </w:t>
            </w:r>
          </w:p>
        </w:tc>
      </w:tr>
    </w:tbl>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w:t>
      </w:r>
      <w:r>
        <w:rPr>
          <w:rFonts w:ascii="Arial" w:hAnsi="Arial" w:cs="Arial"/>
          <w:color w:val="000000"/>
          <w:sz w:val="16"/>
          <w:szCs w:val="16"/>
          <w:lang w:val="en-GB" w:eastAsia="en-GB"/>
        </w:rPr>
        <w:t>t firm, in compliance with national and local regulations.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Waste transportation may be subject to ADR restrictions.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3272</w:t>
            </w:r>
          </w:p>
        </w:tc>
        <w:tc>
          <w:tcPr>
            <w:tcW w:w="2835"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8505"/>
        <w:gridCol w:w="160"/>
        <w:gridCol w:w="160"/>
        <w:gridCol w:w="160"/>
        <w:gridCol w:w="160"/>
        <w:gridCol w:w="160"/>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850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850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850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c>
          <w:tcPr>
            <w:tcW w:w="140"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2C0C46">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C2F6F" id="Rectangle 7"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AmQSBx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365760" cy="36576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2C0C46">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margin">
                        <wp:posOffset>0</wp:posOffset>
                      </wp:positionV>
                      <wp:extent cx="0" cy="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5526B" id="Rectangle 8"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" o:allowincell="f">
                      <w10:wrap anchorx="margin" anchory="margin"/>
                    </v:rect>
                  </w:pict>
                </mc:Fallback>
              </mc:AlternateContent>
            </w:r>
            <w:r>
              <w:rPr>
                <w:noProof/>
                <w:lang w:val="en-GB" w:eastAsia="en-GB"/>
              </w:rPr>
              <w:drawing>
                <wp:inline distT="0" distB="0" distL="0" distR="0">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2C0C46">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margin">
                        <wp:posOffset>0</wp:posOffset>
                      </wp:positionV>
                      <wp:extent cx="0" cy="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6D41" id="Rectangle 9"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" o:allowincell="f">
                      <w10:wrap anchorx="margin" anchory="margin"/>
                    </v:rect>
                  </w:pict>
                </mc:Fallback>
              </mc:AlternateContent>
            </w:r>
            <w:r>
              <w:rPr>
                <w:noProof/>
                <w:lang w:val="en-GB" w:eastAsia="en-GB"/>
              </w:rPr>
              <w:drawing>
                <wp:inline distT="0" distB="0" distL="0" distR="0">
                  <wp:extent cx="3657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III</w:t>
            </w:r>
          </w:p>
        </w:tc>
        <w:tc>
          <w:tcPr>
            <w:tcW w:w="2835"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HIN - Kemler: 30</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Tunnel restriction code: (D/E)</w:t>
            </w: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Special Provision: -</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EMS: F-E, S-D</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2C0C46">
            <w:pPr>
              <w:widowControl w:val="0"/>
              <w:autoSpaceDE w:val="0"/>
              <w:autoSpaceDN w:val="0"/>
              <w:adjustRightInd w:val="0"/>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Cargo:</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Maximum quantity: 220 L</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366</w:t>
            </w: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Pass.:</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Maximum quantity: 60 L</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355</w:t>
            </w:r>
          </w:p>
        </w:tc>
      </w:tr>
      <w:tr w:rsidR="00000000">
        <w:tblPrEx>
          <w:tblCellMar>
            <w:top w:w="0" w:type="dxa"/>
            <w:bottom w:w="0" w:type="dxa"/>
          </w:tblCellMar>
        </w:tblPrEx>
        <w:tc>
          <w:tcPr>
            <w:tcW w:w="1701" w:type="dxa"/>
            <w:shd w:val="clear" w:color="auto" w:fill="FFFFFF"/>
          </w:tcPr>
          <w:p w:rsidR="00000000" w:rsidRDefault="002C0C46">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2C0C46">
            <w:pPr>
              <w:widowControl w:val="0"/>
              <w:autoSpaceDE w:val="0"/>
              <w:autoSpaceDN w:val="0"/>
              <w:adjustRightInd w:val="0"/>
              <w:jc w:val="both"/>
              <w:rPr>
                <w:lang w:val="en-GB" w:eastAsia="en-GB"/>
              </w:rPr>
            </w:pPr>
          </w:p>
        </w:tc>
        <w:tc>
          <w:tcPr>
            <w:tcW w:w="2835"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Special Instructions:</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A3</w:t>
            </w:r>
          </w:p>
        </w:tc>
        <w:tc>
          <w:tcPr>
            <w:tcW w:w="1134" w:type="dxa"/>
            <w:shd w:val="clear" w:color="auto" w:fill="FFFFFF"/>
          </w:tcPr>
          <w:p w:rsidR="00000000" w:rsidRDefault="002C0C46">
            <w:pPr>
              <w:widowControl w:val="0"/>
              <w:autoSpaceDE w:val="0"/>
              <w:autoSpaceDN w:val="0"/>
              <w:adjustRightInd w:val="0"/>
              <w:rPr>
                <w:lang w:val="en-GB" w:eastAsia="en-GB"/>
              </w:rPr>
            </w:pPr>
          </w:p>
        </w:tc>
        <w:tc>
          <w:tcPr>
            <w:tcW w:w="1134"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P5c</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Product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000000">
        <w:tblPrEx>
          <w:tblCellMar>
            <w:top w:w="0" w:type="dxa"/>
            <w:bottom w:w="0" w:type="dxa"/>
          </w:tblCellMar>
        </w:tblPrEx>
        <w:tc>
          <w:tcPr>
            <w:tcW w:w="2835"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Point</w:t>
            </w:r>
          </w:p>
        </w:tc>
        <w:tc>
          <w:tcPr>
            <w:tcW w:w="1701"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3 - 40</w:t>
            </w:r>
          </w:p>
        </w:tc>
        <w:tc>
          <w:tcPr>
            <w:tcW w:w="1701"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SVHC in percentage greater than 0,1%.</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w:t>
      </w:r>
      <w:r>
        <w:rPr>
          <w:rFonts w:ascii="Arial" w:hAnsi="Arial" w:cs="Arial"/>
          <w:color w:val="000000"/>
          <w:sz w:val="16"/>
          <w:szCs w:val="16"/>
          <w:u w:val="single"/>
          <w:lang w:val="en-GB" w:eastAsia="en-GB"/>
        </w:rPr>
        <w:t>es subject to the Rotterdam Convention: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w:t>
      </w:r>
      <w:r>
        <w:rPr>
          <w:rFonts w:ascii="Arial" w:hAnsi="Arial" w:cs="Arial"/>
          <w:color w:val="000000"/>
          <w:sz w:val="16"/>
          <w:szCs w:val="16"/>
          <w:lang w:val="en-GB" w:eastAsia="en-GB"/>
        </w:rPr>
        <w:t>h checks, provided that available risk-assessment data prove that the risks related to the workers' health and safety are modest and that the 98/24/EC directive is respected.</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German regulation on the classification of substances hazardous to water (VwVwS</w:t>
      </w:r>
      <w:r>
        <w:rPr>
          <w:rFonts w:ascii="Arial" w:hAnsi="Arial" w:cs="Arial"/>
          <w:color w:val="000000"/>
          <w:sz w:val="16"/>
          <w:szCs w:val="16"/>
          <w:u w:val="single"/>
          <w:lang w:val="en-GB" w:eastAsia="en-GB"/>
        </w:rPr>
        <w:t xml:space="preserve"> 2005)</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WGK 1: Low hazard to waters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Substance listed in Annex 2</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rsidR="00000000" w:rsidRDefault="002C0C46">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Flam. Liq. 3</w:t>
            </w:r>
          </w:p>
        </w:tc>
        <w:tc>
          <w:tcPr>
            <w:tcW w:w="623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Flammable liquid, category 3</w:t>
            </w:r>
          </w:p>
        </w:tc>
        <w:tc>
          <w:tcPr>
            <w:tcW w:w="85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STOT SE 3</w:t>
            </w:r>
          </w:p>
        </w:tc>
        <w:tc>
          <w:tcPr>
            <w:tcW w:w="623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Specific target organ toxicity - single exposure, category 3</w:t>
            </w:r>
          </w:p>
        </w:tc>
        <w:tc>
          <w:tcPr>
            <w:tcW w:w="85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H226</w:t>
            </w:r>
          </w:p>
        </w:tc>
        <w:tc>
          <w:tcPr>
            <w:tcW w:w="623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c>
          <w:tcPr>
            <w:tcW w:w="850" w:type="dxa"/>
            <w:shd w:val="clear" w:color="auto" w:fill="FFFFFF"/>
          </w:tcPr>
          <w:p w:rsidR="00000000" w:rsidRDefault="002C0C46">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2C0C46">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H336</w:t>
            </w:r>
          </w:p>
        </w:tc>
        <w:tc>
          <w:tcPr>
            <w:tcW w:w="6237" w:type="dxa"/>
            <w:shd w:val="clear" w:color="auto" w:fill="FFFFFF"/>
          </w:tcPr>
          <w:p w:rsidR="00000000" w:rsidRDefault="002C0C46">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c>
          <w:tcPr>
            <w:tcW w:w="850" w:type="dxa"/>
            <w:shd w:val="clear" w:color="auto" w:fill="FFFFFF"/>
          </w:tcPr>
          <w:p w:rsidR="00000000" w:rsidRDefault="002C0C46">
            <w:pPr>
              <w:widowControl w:val="0"/>
              <w:autoSpaceDE w:val="0"/>
              <w:autoSpaceDN w:val="0"/>
              <w:adjustRightInd w:val="0"/>
              <w:rPr>
                <w:lang w:val="en-GB" w:eastAsia="en-GB"/>
              </w:rPr>
            </w:pPr>
          </w:p>
        </w:tc>
      </w:tr>
    </w:tbl>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w:t>
      </w:r>
      <w:r>
        <w:rPr>
          <w:rFonts w:ascii="Arial" w:hAnsi="Arial" w:cs="Arial"/>
          <w:color w:val="000000"/>
          <w:sz w:val="16"/>
          <w:szCs w:val="16"/>
          <w:lang w:val="en-GB" w:eastAsia="en-GB"/>
        </w:rPr>
        <w:t>fier in ESIS (European archive of existing substances)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GHS: Globally Harmonized System of classification and labeling of chemicals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INDEX NUMBER: Identifier in Annex </w:t>
      </w:r>
      <w:r>
        <w:rPr>
          <w:rFonts w:ascii="Arial" w:hAnsi="Arial" w:cs="Arial"/>
          <w:color w:val="000000"/>
          <w:sz w:val="16"/>
          <w:szCs w:val="16"/>
          <w:lang w:val="en-GB" w:eastAsia="en-GB"/>
        </w:rPr>
        <w:t>VI of CLP</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bioaccumulative and toxic as REACH Regulation </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w:t>
      </w:r>
      <w:r>
        <w:rPr>
          <w:rFonts w:ascii="Arial" w:hAnsi="Arial" w:cs="Arial"/>
          <w:color w:val="000000"/>
          <w:sz w:val="16"/>
          <w:szCs w:val="16"/>
          <w:lang w:val="en-GB" w:eastAsia="en-GB"/>
        </w:rPr>
        <w:t>icted no effect concentration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w:t>
      </w:r>
      <w:r>
        <w:rPr>
          <w:rFonts w:ascii="Arial" w:hAnsi="Arial" w:cs="Arial"/>
          <w:color w:val="000000"/>
          <w:sz w:val="16"/>
          <w:szCs w:val="16"/>
          <w:lang w:val="en-GB" w:eastAsia="en-GB"/>
        </w:rPr>
        <w:t>cupational exposure.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very Bioaccumulative as for REACH Regulation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w:t>
      </w:r>
      <w:r>
        <w:rPr>
          <w:rFonts w:ascii="Arial" w:hAnsi="Arial" w:cs="Arial"/>
          <w:color w:val="000000"/>
          <w:sz w:val="16"/>
          <w:szCs w:val="16"/>
          <w:lang w:val="en-GB" w:eastAsia="en-GB"/>
        </w:rPr>
        <w:t>L BIBLIOGRAPHY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790/2009 (I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487/2013 (IV Atp. CLP) of the European Parl</w:t>
      </w:r>
      <w:r>
        <w:rPr>
          <w:rFonts w:ascii="Arial" w:hAnsi="Arial" w:cs="Arial"/>
          <w:color w:val="000000"/>
          <w:sz w:val="16"/>
          <w:szCs w:val="16"/>
          <w:lang w:val="en-GB" w:eastAsia="en-GB"/>
        </w:rPr>
        <w:t>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11. Regulation (EU) 2016/918 (VIII Atp. </w:t>
      </w:r>
      <w:r>
        <w:rPr>
          <w:rFonts w:ascii="Arial" w:hAnsi="Arial" w:cs="Arial"/>
          <w:color w:val="000000"/>
          <w:sz w:val="16"/>
          <w:szCs w:val="16"/>
          <w:lang w:val="en-GB" w:eastAsia="en-GB"/>
        </w:rPr>
        <w:t>CLP) of the European Parliament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w:t>
      </w:r>
      <w:r>
        <w:rPr>
          <w:rFonts w:ascii="Arial" w:hAnsi="Arial" w:cs="Arial"/>
          <w:color w:val="000000"/>
          <w:sz w:val="16"/>
          <w:szCs w:val="16"/>
          <w:lang w:val="en-GB" w:eastAsia="en-GB"/>
        </w:rPr>
        <w:t>ne and Toxicology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(Istituto Superiore di Sanità) - Italy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w:t>
      </w:r>
      <w:r>
        <w:rPr>
          <w:rFonts w:ascii="Arial" w:hAnsi="Arial" w:cs="Arial"/>
          <w:color w:val="000000"/>
          <w:sz w:val="16"/>
          <w:szCs w:val="16"/>
          <w:lang w:val="en-GB" w:eastAsia="en-GB"/>
        </w:rPr>
        <w:t>nformation contained in the present sheet are based on our own knowledge on the date of the last version. Users must verify the suitability and thoroughness of provided information according to each specific use of the product.</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w:t>
      </w:r>
      <w:r>
        <w:rPr>
          <w:rFonts w:ascii="Arial" w:hAnsi="Arial" w:cs="Arial"/>
          <w:color w:val="000000"/>
          <w:sz w:val="16"/>
          <w:szCs w:val="16"/>
          <w:lang w:val="en-GB" w:eastAsia="en-GB"/>
        </w:rPr>
        <w:t>garded as a guarantee on any specific product property.</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w:t>
      </w:r>
      <w:r>
        <w:rPr>
          <w:rFonts w:ascii="Arial" w:hAnsi="Arial" w:cs="Arial"/>
          <w:color w:val="000000"/>
          <w:sz w:val="16"/>
          <w:szCs w:val="16"/>
          <w:lang w:val="en-GB" w:eastAsia="en-GB"/>
        </w:rPr>
        <w:t>ieved from any liability arising from improper uses.</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rsidR="00000000" w:rsidRDefault="002C0C46">
      <w:pPr>
        <w:widowControl w:val="0"/>
        <w:autoSpaceDE w:val="0"/>
        <w:autoSpaceDN w:val="0"/>
        <w:adjustRightInd w:val="0"/>
        <w:jc w:val="both"/>
        <w:rPr>
          <w:lang w:val="en-GB" w:eastAsia="en-GB"/>
        </w:rPr>
      </w:pP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rsidR="00000000" w:rsidRDefault="002C0C46">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01 / 02 / 09 / 10 / 11 / 12.</w:t>
      </w:r>
    </w:p>
    <w:sectPr w:rsidR="00000000">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C0C46">
      <w:r>
        <w:separator/>
      </w:r>
    </w:p>
  </w:endnote>
  <w:endnote w:type="continuationSeparator" w:id="0">
    <w:p w:rsidR="00000000" w:rsidRDefault="002C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C0C46">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27CBA"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C0C46">
      <w:r>
        <w:separator/>
      </w:r>
    </w:p>
  </w:footnote>
  <w:footnote w:type="continuationSeparator" w:id="0">
    <w:p w:rsidR="00000000" w:rsidRDefault="002C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2C0C46">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2C0C46">
          <w:pPr>
            <w:autoSpaceDE w:val="0"/>
            <w:autoSpaceDN w:val="0"/>
            <w:adjustRightInd w:val="0"/>
            <w:rPr>
              <w:lang w:val="en-GB" w:eastAsia="en-GB"/>
            </w:rPr>
          </w:pPr>
          <w:r>
            <w:rPr>
              <w:rFonts w:ascii="Arial" w:hAnsi="Arial" w:cs="Arial"/>
              <w:color w:val="000000"/>
              <w:sz w:val="12"/>
              <w:szCs w:val="12"/>
              <w:lang w:val="en-GB" w:eastAsia="en-GB"/>
            </w:rPr>
            <w:t>Revision nr. 9</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2C0C46">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2C0C46">
          <w:pPr>
            <w:autoSpaceDE w:val="0"/>
            <w:autoSpaceDN w:val="0"/>
            <w:adjustRightInd w:val="0"/>
            <w:rPr>
              <w:lang w:val="en-GB" w:eastAsia="en-GB"/>
            </w:rPr>
          </w:pPr>
          <w:r>
            <w:rPr>
              <w:rFonts w:ascii="Arial" w:hAnsi="Arial" w:cs="Arial"/>
              <w:color w:val="000000"/>
              <w:sz w:val="12"/>
              <w:szCs w:val="12"/>
              <w:lang w:val="en-GB" w:eastAsia="en-GB"/>
            </w:rPr>
            <w:t>Dated 12/01/2018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2C0C46">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DILUENTE 202 M</w:t>
          </w:r>
        </w:p>
      </w:tc>
      <w:tc>
        <w:tcPr>
          <w:tcW w:w="2721" w:type="dxa"/>
          <w:tcBorders>
            <w:left w:val="single" w:sz="6" w:space="0" w:color="auto"/>
            <w:right w:val="single" w:sz="6" w:space="0" w:color="auto"/>
          </w:tcBorders>
          <w:shd w:val="clear" w:color="auto" w:fill="FFFFFF"/>
        </w:tcPr>
        <w:p w:rsidR="00000000" w:rsidRDefault="002C0C46">
          <w:pPr>
            <w:autoSpaceDE w:val="0"/>
            <w:autoSpaceDN w:val="0"/>
            <w:adjustRightInd w:val="0"/>
            <w:rPr>
              <w:lang w:val="en-GB" w:eastAsia="en-GB"/>
            </w:rPr>
          </w:pPr>
          <w:r>
            <w:rPr>
              <w:rFonts w:ascii="Arial" w:hAnsi="Arial" w:cs="Arial"/>
              <w:color w:val="000000"/>
              <w:sz w:val="12"/>
              <w:szCs w:val="12"/>
              <w:lang w:val="en-GB" w:eastAsia="en-GB"/>
            </w:rPr>
            <w:t>Printed on 03/04/2018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2C0C46">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2C0C46">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2C0C46">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26ACF"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091A"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46"/>
    <w:rsid w:val="00171DD7"/>
    <w:rsid w:val="002000E3"/>
    <w:rsid w:val="002B4F1F"/>
    <w:rsid w:val="002C0C46"/>
    <w:rsid w:val="0039723C"/>
    <w:rsid w:val="007F2EBE"/>
    <w:rsid w:val="00884218"/>
    <w:rsid w:val="008D6CBD"/>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55E2DDE1-DA24-4621-9952-09A36A96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86397B43.dotm</Template>
  <TotalTime>0</TotalTime>
  <Pages>12</Pages>
  <Words>3394</Words>
  <Characters>19348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2018-04-12T12:22:00Z</dcterms:created>
  <dcterms:modified xsi:type="dcterms:W3CDTF">2018-04-12T12:22:00Z</dcterms:modified>
</cp:coreProperties>
</file>