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87B7" w14:textId="77777777" w:rsidR="00EB261A" w:rsidRDefault="00EB261A">
      <w:pPr>
        <w:widowControl w:val="0"/>
        <w:autoSpaceDE w:val="0"/>
        <w:autoSpaceDN w:val="0"/>
        <w:adjustRightInd w:val="0"/>
        <w:rPr>
          <w:lang w:val="en-GB" w:eastAsia="en-GB"/>
        </w:rPr>
      </w:pPr>
    </w:p>
    <w:p w14:paraId="37B787B8" w14:textId="77777777" w:rsidR="00EB261A" w:rsidRDefault="005200B9">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Information Sheet</w:t>
      </w:r>
    </w:p>
    <w:p w14:paraId="37B787B9" w14:textId="77777777" w:rsidR="00EB261A" w:rsidRDefault="00EB261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7BB" w14:textId="77777777">
        <w:tc>
          <w:tcPr>
            <w:tcW w:w="10773" w:type="dxa"/>
            <w:shd w:val="clear" w:color="auto" w:fill="A8FFFF"/>
          </w:tcPr>
          <w:p w14:paraId="37B787BA"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14:paraId="37B787BC" w14:textId="77777777" w:rsidR="00EB261A" w:rsidRDefault="00EB261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EB261A" w14:paraId="37B787BE" w14:textId="77777777">
        <w:tc>
          <w:tcPr>
            <w:tcW w:w="10773" w:type="dxa"/>
            <w:gridSpan w:val="2"/>
            <w:shd w:val="clear" w:color="auto" w:fill="FFFFFF"/>
          </w:tcPr>
          <w:p w14:paraId="37B787BD"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EB261A" w14:paraId="37B787C1" w14:textId="77777777">
        <w:tc>
          <w:tcPr>
            <w:tcW w:w="3969" w:type="dxa"/>
            <w:shd w:val="clear" w:color="auto" w:fill="FFFFFF"/>
          </w:tcPr>
          <w:p w14:paraId="37B787BF"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14:paraId="37B787C0" w14:textId="77777777" w:rsidR="00EB261A" w:rsidRDefault="005200B9">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AM1005.42 </w:t>
            </w:r>
          </w:p>
        </w:tc>
      </w:tr>
      <w:tr w:rsidR="00EB261A" w14:paraId="37B787C4" w14:textId="77777777">
        <w:tc>
          <w:tcPr>
            <w:tcW w:w="3969" w:type="dxa"/>
            <w:shd w:val="clear" w:color="auto" w:fill="FFFFFF"/>
          </w:tcPr>
          <w:p w14:paraId="37B787C2"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14:paraId="37B787C3" w14:textId="77777777" w:rsidR="00EB261A" w:rsidRDefault="005200B9">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TEXPRINT COLORANTE ROSSO 45 </w:t>
            </w:r>
          </w:p>
        </w:tc>
      </w:tr>
      <w:tr w:rsidR="00EB261A" w14:paraId="37B787C7" w14:textId="77777777">
        <w:tc>
          <w:tcPr>
            <w:tcW w:w="3969" w:type="dxa"/>
            <w:shd w:val="clear" w:color="auto" w:fill="FFFFFF"/>
          </w:tcPr>
          <w:p w14:paraId="37B787C5" w14:textId="77777777" w:rsidR="00EB261A" w:rsidRDefault="005200B9">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37B787C6" w14:textId="77777777" w:rsidR="00EB261A" w:rsidRDefault="00EB261A">
            <w:pPr>
              <w:widowControl w:val="0"/>
              <w:autoSpaceDE w:val="0"/>
              <w:autoSpaceDN w:val="0"/>
              <w:adjustRightInd w:val="0"/>
              <w:jc w:val="center"/>
              <w:rPr>
                <w:lang w:val="en-GB" w:eastAsia="en-GB"/>
              </w:rPr>
            </w:pPr>
          </w:p>
        </w:tc>
      </w:tr>
    </w:tbl>
    <w:p w14:paraId="37B787C8" w14:textId="77777777" w:rsidR="00EB261A" w:rsidRDefault="00EB261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EB261A" w14:paraId="37B787CA" w14:textId="77777777">
        <w:tc>
          <w:tcPr>
            <w:tcW w:w="10773" w:type="dxa"/>
            <w:gridSpan w:val="2"/>
            <w:shd w:val="clear" w:color="auto" w:fill="FFFFFF"/>
          </w:tcPr>
          <w:p w14:paraId="37B787C9"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EB261A" w14:paraId="37B787CD" w14:textId="77777777">
        <w:tc>
          <w:tcPr>
            <w:tcW w:w="2268" w:type="dxa"/>
            <w:shd w:val="clear" w:color="auto" w:fill="FFFFFF"/>
          </w:tcPr>
          <w:p w14:paraId="37B787CB"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14:paraId="37B787CC" w14:textId="77777777" w:rsidR="00EB261A" w:rsidRDefault="005200B9">
            <w:pPr>
              <w:widowControl w:val="0"/>
              <w:autoSpaceDE w:val="0"/>
              <w:autoSpaceDN w:val="0"/>
              <w:adjustRightInd w:val="0"/>
              <w:rPr>
                <w:lang w:val="en-GB" w:eastAsia="en-GB"/>
              </w:rPr>
            </w:pPr>
            <w:r>
              <w:rPr>
                <w:rFonts w:ascii="Arial" w:hAnsi="Arial" w:cs="Arial"/>
                <w:b/>
                <w:bCs/>
                <w:color w:val="000000"/>
                <w:sz w:val="16"/>
                <w:szCs w:val="16"/>
                <w:lang w:val="en-GB" w:eastAsia="en-GB"/>
              </w:rPr>
              <w:t>colorante a pigmento per tessili</w:t>
            </w:r>
          </w:p>
        </w:tc>
      </w:tr>
    </w:tbl>
    <w:p w14:paraId="37B787CE" w14:textId="77777777" w:rsidR="00EB261A" w:rsidRDefault="00EB261A">
      <w:pPr>
        <w:widowControl w:val="0"/>
        <w:autoSpaceDE w:val="0"/>
        <w:autoSpaceDN w:val="0"/>
        <w:adjustRightInd w:val="0"/>
        <w:jc w:val="center"/>
        <w:rPr>
          <w:lang w:val="en-GB" w:eastAsia="en-GB"/>
        </w:rPr>
      </w:pPr>
    </w:p>
    <w:p w14:paraId="37B787CF" w14:textId="77777777" w:rsidR="00EB261A" w:rsidRDefault="00EB261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EB261A" w14:paraId="37B787D1" w14:textId="77777777">
        <w:tc>
          <w:tcPr>
            <w:tcW w:w="10773" w:type="dxa"/>
            <w:gridSpan w:val="2"/>
            <w:shd w:val="clear" w:color="auto" w:fill="FFFFFF"/>
          </w:tcPr>
          <w:p w14:paraId="37B787D0"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EB261A" w14:paraId="37B787D4" w14:textId="77777777">
        <w:tc>
          <w:tcPr>
            <w:tcW w:w="3969" w:type="dxa"/>
            <w:shd w:val="clear" w:color="auto" w:fill="FFFFFF"/>
          </w:tcPr>
          <w:p w14:paraId="37B787D2"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14:paraId="37B787D3" w14:textId="77777777" w:rsidR="00EB261A" w:rsidRDefault="005200B9">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EB261A" w14:paraId="37B787D7" w14:textId="77777777">
        <w:tc>
          <w:tcPr>
            <w:tcW w:w="3969" w:type="dxa"/>
            <w:shd w:val="clear" w:color="auto" w:fill="FFFFFF"/>
          </w:tcPr>
          <w:p w14:paraId="37B787D5"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14:paraId="37B787D6" w14:textId="77777777" w:rsidR="00EB261A" w:rsidRDefault="005200B9">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EB261A" w14:paraId="37B787DA" w14:textId="77777777">
        <w:tc>
          <w:tcPr>
            <w:tcW w:w="3969" w:type="dxa"/>
            <w:shd w:val="clear" w:color="auto" w:fill="FFFFFF"/>
          </w:tcPr>
          <w:p w14:paraId="37B787D8"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14:paraId="37B787D9" w14:textId="77777777" w:rsidR="00EB261A" w:rsidRDefault="005200B9">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EB261A" w14:paraId="37B787DD" w14:textId="77777777">
        <w:tc>
          <w:tcPr>
            <w:tcW w:w="3969" w:type="dxa"/>
            <w:shd w:val="clear" w:color="auto" w:fill="FFFFFF"/>
          </w:tcPr>
          <w:p w14:paraId="37B787DB" w14:textId="77777777" w:rsidR="00EB261A" w:rsidRDefault="005200B9">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37B787DC" w14:textId="77777777" w:rsidR="00EB261A" w:rsidRDefault="005200B9">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EB261A" w14:paraId="37B787E0" w14:textId="77777777">
        <w:tc>
          <w:tcPr>
            <w:tcW w:w="3969" w:type="dxa"/>
            <w:shd w:val="clear" w:color="auto" w:fill="FFFFFF"/>
          </w:tcPr>
          <w:p w14:paraId="37B787DE" w14:textId="77777777" w:rsidR="00EB261A" w:rsidRDefault="005200B9">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37B787DF" w14:textId="77777777" w:rsidR="00EB261A" w:rsidRDefault="005200B9">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EB261A" w14:paraId="37B787E3" w14:textId="77777777">
        <w:tc>
          <w:tcPr>
            <w:tcW w:w="3969" w:type="dxa"/>
            <w:shd w:val="clear" w:color="auto" w:fill="FFFFFF"/>
          </w:tcPr>
          <w:p w14:paraId="37B787E1" w14:textId="77777777" w:rsidR="00EB261A" w:rsidRDefault="005200B9">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37B787E2" w14:textId="77777777" w:rsidR="00EB261A" w:rsidRDefault="005200B9">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EB261A" w14:paraId="37B787E6" w14:textId="77777777">
        <w:tc>
          <w:tcPr>
            <w:tcW w:w="3969" w:type="dxa"/>
            <w:shd w:val="clear" w:color="auto" w:fill="FFFFFF"/>
          </w:tcPr>
          <w:p w14:paraId="37B787E4"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14:paraId="37B787E5" w14:textId="77777777" w:rsidR="00EB261A" w:rsidRDefault="00EB261A">
            <w:pPr>
              <w:widowControl w:val="0"/>
              <w:autoSpaceDE w:val="0"/>
              <w:autoSpaceDN w:val="0"/>
              <w:adjustRightInd w:val="0"/>
              <w:rPr>
                <w:lang w:val="en-GB" w:eastAsia="en-GB"/>
              </w:rPr>
            </w:pPr>
          </w:p>
        </w:tc>
      </w:tr>
      <w:tr w:rsidR="00EB261A" w14:paraId="37B787E9" w14:textId="77777777">
        <w:tc>
          <w:tcPr>
            <w:tcW w:w="3969" w:type="dxa"/>
            <w:shd w:val="clear" w:color="auto" w:fill="FFFFFF"/>
          </w:tcPr>
          <w:p w14:paraId="37B787E7"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14:paraId="37B787E8" w14:textId="77777777" w:rsidR="00EB261A" w:rsidRDefault="005200B9">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EB261A" w14:paraId="37B787EC" w14:textId="77777777">
        <w:tc>
          <w:tcPr>
            <w:tcW w:w="3969" w:type="dxa"/>
            <w:shd w:val="clear" w:color="auto" w:fill="FFFFFF"/>
          </w:tcPr>
          <w:p w14:paraId="37B787EA" w14:textId="77777777" w:rsidR="00EB261A" w:rsidRDefault="005200B9">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37B787EB" w14:textId="77777777" w:rsidR="00EB261A" w:rsidRDefault="00EB261A">
            <w:pPr>
              <w:widowControl w:val="0"/>
              <w:autoSpaceDE w:val="0"/>
              <w:autoSpaceDN w:val="0"/>
              <w:adjustRightInd w:val="0"/>
              <w:jc w:val="center"/>
              <w:rPr>
                <w:lang w:val="en-GB" w:eastAsia="en-GB"/>
              </w:rPr>
            </w:pPr>
          </w:p>
        </w:tc>
      </w:tr>
    </w:tbl>
    <w:p w14:paraId="37B787ED" w14:textId="77777777" w:rsidR="00EB261A" w:rsidRDefault="00EB261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EB261A" w14:paraId="37B787EF" w14:textId="77777777">
        <w:tc>
          <w:tcPr>
            <w:tcW w:w="10773" w:type="dxa"/>
            <w:gridSpan w:val="2"/>
            <w:shd w:val="clear" w:color="auto" w:fill="FFFFFF"/>
          </w:tcPr>
          <w:p w14:paraId="37B787EE"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EB261A" w14:paraId="37B787F2" w14:textId="77777777">
        <w:tc>
          <w:tcPr>
            <w:tcW w:w="3969" w:type="dxa"/>
            <w:shd w:val="clear" w:color="auto" w:fill="FFFFFF"/>
          </w:tcPr>
          <w:p w14:paraId="37B787F0"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14:paraId="37B787F1" w14:textId="77777777" w:rsidR="00EB261A" w:rsidRDefault="005200B9">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Center - Ospedale Niguarda - Milano - tel. 02/66101029 </w:t>
            </w:r>
          </w:p>
        </w:tc>
      </w:tr>
    </w:tbl>
    <w:p w14:paraId="37B787F3" w14:textId="77777777" w:rsidR="00EB261A" w:rsidRDefault="00EB261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7F5" w14:textId="77777777">
        <w:tc>
          <w:tcPr>
            <w:tcW w:w="10773" w:type="dxa"/>
            <w:shd w:val="clear" w:color="auto" w:fill="A8FFFF"/>
          </w:tcPr>
          <w:p w14:paraId="37B787F4"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14:paraId="37B787F6" w14:textId="77777777" w:rsidR="00EB261A" w:rsidRDefault="00EB261A">
      <w:pPr>
        <w:widowControl w:val="0"/>
        <w:autoSpaceDE w:val="0"/>
        <w:autoSpaceDN w:val="0"/>
        <w:adjustRightInd w:val="0"/>
        <w:jc w:val="center"/>
        <w:rPr>
          <w:lang w:val="en-GB" w:eastAsia="en-GB"/>
        </w:rPr>
      </w:pPr>
    </w:p>
    <w:p w14:paraId="37B787F7"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14:paraId="37B787F8"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classified as hazardous pursuant to the provisions set forth in EC Regulation 1272/2008 (CLP) (and subsequent amendments and supplements).</w:t>
      </w:r>
    </w:p>
    <w:p w14:paraId="37B787F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indication:</w:t>
      </w:r>
    </w:p>
    <w:p w14:paraId="37B787FA" w14:textId="77777777" w:rsidR="00EB261A" w:rsidRDefault="00EB261A">
      <w:pPr>
        <w:widowControl w:val="0"/>
        <w:autoSpaceDE w:val="0"/>
        <w:autoSpaceDN w:val="0"/>
        <w:adjustRightInd w:val="0"/>
        <w:jc w:val="both"/>
        <w:rPr>
          <w:lang w:val="en-GB" w:eastAsia="en-GB"/>
        </w:rPr>
      </w:pPr>
    </w:p>
    <w:p w14:paraId="37B787FB"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2.2. Label elements</w:t>
      </w:r>
    </w:p>
    <w:p w14:paraId="37B787FC"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261A" w14:paraId="37B787FF" w14:textId="77777777">
        <w:tc>
          <w:tcPr>
            <w:tcW w:w="1984" w:type="dxa"/>
            <w:shd w:val="clear" w:color="auto" w:fill="FFFFFF"/>
          </w:tcPr>
          <w:p w14:paraId="37B787FD"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shd w:val="clear" w:color="auto" w:fill="FFFFFF"/>
          </w:tcPr>
          <w:p w14:paraId="37B787FE"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37B78800"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261A" w14:paraId="37B78803" w14:textId="77777777">
        <w:tc>
          <w:tcPr>
            <w:tcW w:w="1984" w:type="dxa"/>
            <w:shd w:val="clear" w:color="auto" w:fill="FFFFFF"/>
          </w:tcPr>
          <w:p w14:paraId="37B78801"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14:paraId="37B78802"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37B78804" w14:textId="77777777" w:rsidR="00EB261A" w:rsidRDefault="00EB261A">
      <w:pPr>
        <w:widowControl w:val="0"/>
        <w:autoSpaceDE w:val="0"/>
        <w:autoSpaceDN w:val="0"/>
        <w:adjustRightInd w:val="0"/>
        <w:jc w:val="both"/>
        <w:rPr>
          <w:lang w:val="en-GB" w:eastAsia="en-GB"/>
        </w:rPr>
      </w:pPr>
    </w:p>
    <w:p w14:paraId="37B78805"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14:paraId="37B78806"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261A" w14:paraId="37B78809" w14:textId="77777777">
        <w:tc>
          <w:tcPr>
            <w:tcW w:w="1984" w:type="dxa"/>
            <w:shd w:val="clear" w:color="auto" w:fill="FFFFFF"/>
          </w:tcPr>
          <w:p w14:paraId="37B78807" w14:textId="77777777" w:rsidR="00EB261A" w:rsidRDefault="005200B9">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14:paraId="37B78808"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37B7880A" w14:textId="77777777" w:rsidR="00EB261A" w:rsidRDefault="00EB261A">
      <w:pPr>
        <w:widowControl w:val="0"/>
        <w:autoSpaceDE w:val="0"/>
        <w:autoSpaceDN w:val="0"/>
        <w:adjustRightInd w:val="0"/>
        <w:jc w:val="both"/>
        <w:rPr>
          <w:lang w:val="en-GB" w:eastAsia="en-GB"/>
        </w:rPr>
      </w:pPr>
    </w:p>
    <w:p w14:paraId="37B7880B"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14:paraId="37B7880C"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261A" w14:paraId="37B7880F" w14:textId="77777777">
        <w:tc>
          <w:tcPr>
            <w:tcW w:w="1984" w:type="dxa"/>
            <w:shd w:val="clear" w:color="auto" w:fill="FFFFFF"/>
          </w:tcPr>
          <w:p w14:paraId="37B7880D" w14:textId="77777777" w:rsidR="00EB261A" w:rsidRDefault="005200B9">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14:paraId="37B7880E"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37B78810" w14:textId="77777777" w:rsidR="00EB261A" w:rsidRDefault="00EB261A">
      <w:pPr>
        <w:widowControl w:val="0"/>
        <w:autoSpaceDE w:val="0"/>
        <w:autoSpaceDN w:val="0"/>
        <w:adjustRightInd w:val="0"/>
        <w:jc w:val="both"/>
        <w:rPr>
          <w:lang w:val="en-GB" w:eastAsia="en-GB"/>
        </w:rPr>
      </w:pPr>
    </w:p>
    <w:p w14:paraId="37B78811"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14:paraId="37B78812" w14:textId="77777777" w:rsidR="00EB261A" w:rsidRDefault="00EB261A">
      <w:pPr>
        <w:widowControl w:val="0"/>
        <w:autoSpaceDE w:val="0"/>
        <w:autoSpaceDN w:val="0"/>
        <w:adjustRightInd w:val="0"/>
        <w:jc w:val="both"/>
        <w:rPr>
          <w:lang w:val="en-GB" w:eastAsia="en-GB"/>
        </w:rPr>
      </w:pPr>
    </w:p>
    <w:p w14:paraId="37B78813"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14:paraId="37B78814"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16" w14:textId="77777777">
        <w:tc>
          <w:tcPr>
            <w:tcW w:w="10773" w:type="dxa"/>
            <w:shd w:val="clear" w:color="auto" w:fill="A8FFFF"/>
          </w:tcPr>
          <w:p w14:paraId="37B78815"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14:paraId="37B78817" w14:textId="77777777" w:rsidR="00EB261A" w:rsidRDefault="00EB261A">
      <w:pPr>
        <w:widowControl w:val="0"/>
        <w:autoSpaceDE w:val="0"/>
        <w:autoSpaceDN w:val="0"/>
        <w:adjustRightInd w:val="0"/>
        <w:jc w:val="both"/>
        <w:rPr>
          <w:lang w:val="en-GB" w:eastAsia="en-GB"/>
        </w:rPr>
      </w:pPr>
    </w:p>
    <w:p w14:paraId="37B78818"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14:paraId="37B78819" w14:textId="77777777" w:rsidR="00EB261A" w:rsidRDefault="00EB261A">
      <w:pPr>
        <w:widowControl w:val="0"/>
        <w:autoSpaceDE w:val="0"/>
        <w:autoSpaceDN w:val="0"/>
        <w:adjustRightInd w:val="0"/>
        <w:jc w:val="both"/>
        <w:rPr>
          <w:lang w:val="en-GB" w:eastAsia="en-GB"/>
        </w:rPr>
      </w:pPr>
    </w:p>
    <w:p w14:paraId="37B7881A"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37B7881B"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1D" w14:textId="77777777">
        <w:tc>
          <w:tcPr>
            <w:tcW w:w="10773" w:type="dxa"/>
            <w:shd w:val="clear" w:color="auto" w:fill="FFFFFF"/>
          </w:tcPr>
          <w:p w14:paraId="37B7881C"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14:paraId="37B7881E" w14:textId="77777777" w:rsidR="00EB261A" w:rsidRDefault="00EB261A">
      <w:pPr>
        <w:widowControl w:val="0"/>
        <w:autoSpaceDE w:val="0"/>
        <w:autoSpaceDN w:val="0"/>
        <w:adjustRightInd w:val="0"/>
        <w:jc w:val="both"/>
        <w:rPr>
          <w:lang w:val="en-GB" w:eastAsia="en-GB"/>
        </w:rPr>
      </w:pPr>
    </w:p>
    <w:p w14:paraId="37B7881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does not contain substances classified as being hazardous to human health or the environment pursuant to the provisions Regulation (EU) 1272/2008 (CLP) (and subsequent amendments and supplements) in such quantities as to require the statement.</w:t>
      </w:r>
    </w:p>
    <w:p w14:paraId="37B78820"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22" w14:textId="77777777">
        <w:tc>
          <w:tcPr>
            <w:tcW w:w="10773" w:type="dxa"/>
            <w:shd w:val="clear" w:color="auto" w:fill="A8FFFF"/>
          </w:tcPr>
          <w:p w14:paraId="37B78821"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14:paraId="37B78823" w14:textId="77777777" w:rsidR="00EB261A" w:rsidRDefault="00EB261A">
      <w:pPr>
        <w:widowControl w:val="0"/>
        <w:autoSpaceDE w:val="0"/>
        <w:autoSpaceDN w:val="0"/>
        <w:adjustRightInd w:val="0"/>
        <w:jc w:val="both"/>
        <w:rPr>
          <w:lang w:val="en-GB" w:eastAsia="en-GB"/>
        </w:rPr>
      </w:pPr>
    </w:p>
    <w:p w14:paraId="37B78824" w14:textId="77777777" w:rsidR="00EB261A" w:rsidRDefault="00EB261A">
      <w:pPr>
        <w:widowControl w:val="0"/>
        <w:autoSpaceDE w:val="0"/>
        <w:autoSpaceDN w:val="0"/>
        <w:adjustRightInd w:val="0"/>
        <w:jc w:val="both"/>
        <w:rPr>
          <w:lang w:val="en-GB" w:eastAsia="en-GB"/>
        </w:rPr>
      </w:pPr>
    </w:p>
    <w:p w14:paraId="37B78825"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14:paraId="37B78826" w14:textId="77777777" w:rsidR="00EB261A" w:rsidRDefault="00EB261A">
      <w:pPr>
        <w:widowControl w:val="0"/>
        <w:autoSpaceDE w:val="0"/>
        <w:autoSpaceDN w:val="0"/>
        <w:adjustRightInd w:val="0"/>
        <w:jc w:val="both"/>
        <w:rPr>
          <w:lang w:val="en-GB" w:eastAsia="en-GB"/>
        </w:rPr>
      </w:pPr>
    </w:p>
    <w:p w14:paraId="37B78827"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specifically necessary. Observance of good industrial hygiene is recommended.</w:t>
      </w:r>
    </w:p>
    <w:p w14:paraId="37B78828" w14:textId="77777777" w:rsidR="00EB261A" w:rsidRDefault="00EB261A">
      <w:pPr>
        <w:widowControl w:val="0"/>
        <w:autoSpaceDE w:val="0"/>
        <w:autoSpaceDN w:val="0"/>
        <w:adjustRightInd w:val="0"/>
        <w:jc w:val="both"/>
        <w:rPr>
          <w:lang w:val="en-GB" w:eastAsia="en-GB"/>
        </w:rPr>
      </w:pPr>
    </w:p>
    <w:p w14:paraId="37B78829"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4.2. Most important symptoms and effects, both acute and delayed</w:t>
      </w:r>
    </w:p>
    <w:p w14:paraId="37B7882A" w14:textId="77777777" w:rsidR="00EB261A" w:rsidRDefault="00EB261A">
      <w:pPr>
        <w:widowControl w:val="0"/>
        <w:autoSpaceDE w:val="0"/>
        <w:autoSpaceDN w:val="0"/>
        <w:adjustRightInd w:val="0"/>
        <w:jc w:val="both"/>
        <w:rPr>
          <w:lang w:val="en-GB" w:eastAsia="en-GB"/>
        </w:rPr>
      </w:pPr>
    </w:p>
    <w:p w14:paraId="37B7882B"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Specific information on symptoms and effects caused by the product are unknown.</w:t>
      </w:r>
    </w:p>
    <w:p w14:paraId="37B7882C" w14:textId="77777777" w:rsidR="00EB261A" w:rsidRDefault="00EB261A">
      <w:pPr>
        <w:widowControl w:val="0"/>
        <w:autoSpaceDE w:val="0"/>
        <w:autoSpaceDN w:val="0"/>
        <w:adjustRightInd w:val="0"/>
        <w:jc w:val="both"/>
        <w:rPr>
          <w:lang w:val="en-GB" w:eastAsia="en-GB"/>
        </w:rPr>
      </w:pPr>
    </w:p>
    <w:p w14:paraId="37B7882D"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4.3. Indication of any immediate medical attention and special treatment needed</w:t>
      </w:r>
    </w:p>
    <w:p w14:paraId="37B7882E" w14:textId="77777777" w:rsidR="00EB261A" w:rsidRDefault="00EB261A">
      <w:pPr>
        <w:widowControl w:val="0"/>
        <w:autoSpaceDE w:val="0"/>
        <w:autoSpaceDN w:val="0"/>
        <w:adjustRightInd w:val="0"/>
        <w:jc w:val="both"/>
        <w:rPr>
          <w:lang w:val="en-GB" w:eastAsia="en-GB"/>
        </w:rPr>
      </w:pPr>
    </w:p>
    <w:p w14:paraId="37B7882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37B78830" w14:textId="77777777" w:rsidR="00EB261A" w:rsidRDefault="00EB261A">
      <w:pPr>
        <w:widowControl w:val="0"/>
        <w:autoSpaceDE w:val="0"/>
        <w:autoSpaceDN w:val="0"/>
        <w:adjustRightInd w:val="0"/>
        <w:jc w:val="both"/>
        <w:rPr>
          <w:lang w:val="en-GB" w:eastAsia="en-GB"/>
        </w:rPr>
      </w:pPr>
    </w:p>
    <w:p w14:paraId="37B78831"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33" w14:textId="77777777">
        <w:tc>
          <w:tcPr>
            <w:tcW w:w="10773" w:type="dxa"/>
            <w:shd w:val="clear" w:color="auto" w:fill="A8FFFF"/>
          </w:tcPr>
          <w:p w14:paraId="37B78832"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14:paraId="37B78834" w14:textId="77777777" w:rsidR="00EB261A" w:rsidRDefault="00EB261A">
      <w:pPr>
        <w:widowControl w:val="0"/>
        <w:autoSpaceDE w:val="0"/>
        <w:autoSpaceDN w:val="0"/>
        <w:adjustRightInd w:val="0"/>
        <w:jc w:val="both"/>
        <w:rPr>
          <w:lang w:val="en-GB" w:eastAsia="en-GB"/>
        </w:rPr>
      </w:pPr>
    </w:p>
    <w:p w14:paraId="37B78835" w14:textId="77777777" w:rsidR="00EB261A" w:rsidRDefault="00EB261A">
      <w:pPr>
        <w:widowControl w:val="0"/>
        <w:autoSpaceDE w:val="0"/>
        <w:autoSpaceDN w:val="0"/>
        <w:adjustRightInd w:val="0"/>
        <w:jc w:val="both"/>
        <w:rPr>
          <w:lang w:val="en-GB" w:eastAsia="en-GB"/>
        </w:rPr>
      </w:pPr>
    </w:p>
    <w:p w14:paraId="37B78836"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14:paraId="37B78837" w14:textId="77777777" w:rsidR="00EB261A" w:rsidRDefault="00EB261A">
      <w:pPr>
        <w:widowControl w:val="0"/>
        <w:autoSpaceDE w:val="0"/>
        <w:autoSpaceDN w:val="0"/>
        <w:adjustRightInd w:val="0"/>
        <w:jc w:val="both"/>
        <w:rPr>
          <w:lang w:val="en-GB" w:eastAsia="en-GB"/>
        </w:rPr>
      </w:pPr>
    </w:p>
    <w:p w14:paraId="37B78838"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14:paraId="37B7883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extinguishing equipment should be of the conventional kind: carbon dioxide, foam, powder and water spray.</w:t>
      </w:r>
    </w:p>
    <w:p w14:paraId="37B7883A"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14:paraId="37B7883B"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particular.</w:t>
      </w:r>
    </w:p>
    <w:p w14:paraId="37B7883C" w14:textId="77777777" w:rsidR="00EB261A" w:rsidRDefault="00EB261A">
      <w:pPr>
        <w:widowControl w:val="0"/>
        <w:autoSpaceDE w:val="0"/>
        <w:autoSpaceDN w:val="0"/>
        <w:adjustRightInd w:val="0"/>
        <w:jc w:val="both"/>
        <w:rPr>
          <w:lang w:val="en-GB" w:eastAsia="en-GB"/>
        </w:rPr>
      </w:pPr>
    </w:p>
    <w:p w14:paraId="37B7883D"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5.2. Special hazards arising from the substance or mixture</w:t>
      </w:r>
    </w:p>
    <w:p w14:paraId="37B7883E" w14:textId="77777777" w:rsidR="00EB261A" w:rsidRDefault="00EB261A">
      <w:pPr>
        <w:widowControl w:val="0"/>
        <w:autoSpaceDE w:val="0"/>
        <w:autoSpaceDN w:val="0"/>
        <w:adjustRightInd w:val="0"/>
        <w:jc w:val="both"/>
        <w:rPr>
          <w:lang w:val="en-GB" w:eastAsia="en-GB"/>
        </w:rPr>
      </w:pPr>
    </w:p>
    <w:p w14:paraId="37B7883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HAZARDS CAUSED BY EXPOSURE IN THE EVENT OF FIRE</w:t>
      </w:r>
    </w:p>
    <w:p w14:paraId="37B78840"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breathe combustion products.</w:t>
      </w:r>
    </w:p>
    <w:p w14:paraId="37B78841" w14:textId="77777777" w:rsidR="00EB261A" w:rsidRDefault="00EB261A">
      <w:pPr>
        <w:widowControl w:val="0"/>
        <w:autoSpaceDE w:val="0"/>
        <w:autoSpaceDN w:val="0"/>
        <w:adjustRightInd w:val="0"/>
        <w:jc w:val="both"/>
        <w:rPr>
          <w:lang w:val="en-GB" w:eastAsia="en-GB"/>
        </w:rPr>
      </w:pPr>
    </w:p>
    <w:p w14:paraId="37B78842"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14:paraId="37B78843" w14:textId="77777777" w:rsidR="00EB261A" w:rsidRDefault="00EB261A">
      <w:pPr>
        <w:widowControl w:val="0"/>
        <w:autoSpaceDE w:val="0"/>
        <w:autoSpaceDN w:val="0"/>
        <w:adjustRightInd w:val="0"/>
        <w:jc w:val="both"/>
        <w:rPr>
          <w:lang w:val="en-GB" w:eastAsia="en-GB"/>
        </w:rPr>
      </w:pPr>
    </w:p>
    <w:p w14:paraId="37B78844"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14:paraId="37B78845"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development of substances potentially hazardous for health. Always wear full fire prevention gear. Collect extinguishing water to prevent it from draining into the sewer system. Dispose of contaminated water used for extinction and the remains of the fire according to applicable regulations.</w:t>
      </w:r>
    </w:p>
    <w:p w14:paraId="37B78846"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 FIRE-FIGHTERS</w:t>
      </w:r>
    </w:p>
    <w:p w14:paraId="37B78847"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Normal fire fighting clothing i.e. fire kit (BS EN 469), gloves (BS EN 659) and boots (HO specification A29 and A30) in combination with self-contained open circuit positive pressure compressed air breathing apparatus (BS EN 137).</w:t>
      </w:r>
    </w:p>
    <w:p w14:paraId="37B78848" w14:textId="77777777" w:rsidR="00EB261A" w:rsidRDefault="00EB261A">
      <w:pPr>
        <w:widowControl w:val="0"/>
        <w:autoSpaceDE w:val="0"/>
        <w:autoSpaceDN w:val="0"/>
        <w:adjustRightInd w:val="0"/>
        <w:jc w:val="both"/>
        <w:rPr>
          <w:lang w:val="en-GB" w:eastAsia="en-GB"/>
        </w:rPr>
      </w:pPr>
    </w:p>
    <w:p w14:paraId="37B78849"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4B" w14:textId="77777777">
        <w:tc>
          <w:tcPr>
            <w:tcW w:w="10773" w:type="dxa"/>
            <w:shd w:val="clear" w:color="auto" w:fill="A8FFFF"/>
          </w:tcPr>
          <w:p w14:paraId="37B7884A"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14:paraId="37B7884C" w14:textId="77777777" w:rsidR="00EB261A" w:rsidRDefault="00EB261A">
      <w:pPr>
        <w:widowControl w:val="0"/>
        <w:autoSpaceDE w:val="0"/>
        <w:autoSpaceDN w:val="0"/>
        <w:adjustRightInd w:val="0"/>
        <w:jc w:val="both"/>
        <w:rPr>
          <w:lang w:val="en-GB" w:eastAsia="en-GB"/>
        </w:rPr>
      </w:pPr>
    </w:p>
    <w:p w14:paraId="37B7884D" w14:textId="77777777" w:rsidR="00EB261A" w:rsidRDefault="00EB261A">
      <w:pPr>
        <w:widowControl w:val="0"/>
        <w:autoSpaceDE w:val="0"/>
        <w:autoSpaceDN w:val="0"/>
        <w:adjustRightInd w:val="0"/>
        <w:jc w:val="both"/>
        <w:rPr>
          <w:lang w:val="en-GB" w:eastAsia="en-GB"/>
        </w:rPr>
      </w:pPr>
    </w:p>
    <w:p w14:paraId="37B7884E"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6.1. Personal precautions, protective equipment and emergency procedures</w:t>
      </w:r>
    </w:p>
    <w:p w14:paraId="37B7884F" w14:textId="77777777" w:rsidR="00EB261A" w:rsidRDefault="00EB261A">
      <w:pPr>
        <w:widowControl w:val="0"/>
        <w:autoSpaceDE w:val="0"/>
        <w:autoSpaceDN w:val="0"/>
        <w:adjustRightInd w:val="0"/>
        <w:jc w:val="both"/>
        <w:rPr>
          <w:lang w:val="en-GB" w:eastAsia="en-GB"/>
        </w:rPr>
      </w:pPr>
    </w:p>
    <w:p w14:paraId="37B78850"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14:paraId="37B78851"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suitable protective equipment (including personal protective equipment referred to under Section 8 of the safety data sheet) to prevent any contamination of skin, eyes and personal clothing. These indications apply for both processing staff and those involved in emergency procedures.</w:t>
      </w:r>
    </w:p>
    <w:p w14:paraId="37B78852" w14:textId="77777777" w:rsidR="00EB261A" w:rsidRDefault="00EB261A">
      <w:pPr>
        <w:widowControl w:val="0"/>
        <w:autoSpaceDE w:val="0"/>
        <w:autoSpaceDN w:val="0"/>
        <w:adjustRightInd w:val="0"/>
        <w:jc w:val="both"/>
        <w:rPr>
          <w:lang w:val="en-GB" w:eastAsia="en-GB"/>
        </w:rPr>
      </w:pPr>
    </w:p>
    <w:p w14:paraId="37B78853"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14:paraId="37B78854" w14:textId="77777777" w:rsidR="00EB261A" w:rsidRDefault="00EB261A">
      <w:pPr>
        <w:widowControl w:val="0"/>
        <w:autoSpaceDE w:val="0"/>
        <w:autoSpaceDN w:val="0"/>
        <w:adjustRightInd w:val="0"/>
        <w:jc w:val="both"/>
        <w:rPr>
          <w:lang w:val="en-GB" w:eastAsia="en-GB"/>
        </w:rPr>
      </w:pPr>
    </w:p>
    <w:p w14:paraId="37B78855"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must not penetrate into the sewer system or come into contact with surface water or ground water.</w:t>
      </w:r>
    </w:p>
    <w:p w14:paraId="37B78856" w14:textId="77777777" w:rsidR="00EB261A" w:rsidRDefault="00EB261A">
      <w:pPr>
        <w:widowControl w:val="0"/>
        <w:autoSpaceDE w:val="0"/>
        <w:autoSpaceDN w:val="0"/>
        <w:adjustRightInd w:val="0"/>
        <w:jc w:val="both"/>
        <w:rPr>
          <w:lang w:val="en-GB" w:eastAsia="en-GB"/>
        </w:rPr>
      </w:pPr>
    </w:p>
    <w:p w14:paraId="37B78857"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6.3. Methods and material for containment and cleaning up</w:t>
      </w:r>
    </w:p>
    <w:p w14:paraId="37B78858" w14:textId="77777777" w:rsidR="00EB261A" w:rsidRDefault="00EB261A">
      <w:pPr>
        <w:widowControl w:val="0"/>
        <w:autoSpaceDE w:val="0"/>
        <w:autoSpaceDN w:val="0"/>
        <w:adjustRightInd w:val="0"/>
        <w:jc w:val="both"/>
        <w:rPr>
          <w:lang w:val="en-GB" w:eastAsia="en-GB"/>
        </w:rPr>
      </w:pPr>
    </w:p>
    <w:p w14:paraId="37B7885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 explosion-proof equipment. Evaluate the compatibility of the container to be used, by checking section 10. Absorb the remainder with inert absorbent material.</w:t>
      </w:r>
    </w:p>
    <w:p w14:paraId="37B7885A"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Contaminated material should be disposed of in compliance with the provisions set forth in point 13.</w:t>
      </w:r>
    </w:p>
    <w:p w14:paraId="37B7885B" w14:textId="77777777" w:rsidR="00EB261A" w:rsidRDefault="00EB261A">
      <w:pPr>
        <w:widowControl w:val="0"/>
        <w:autoSpaceDE w:val="0"/>
        <w:autoSpaceDN w:val="0"/>
        <w:adjustRightInd w:val="0"/>
        <w:jc w:val="both"/>
        <w:rPr>
          <w:lang w:val="en-GB" w:eastAsia="en-GB"/>
        </w:rPr>
      </w:pPr>
    </w:p>
    <w:p w14:paraId="37B7885C"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14:paraId="37B7885D" w14:textId="77777777" w:rsidR="00EB261A" w:rsidRDefault="00EB261A">
      <w:pPr>
        <w:widowControl w:val="0"/>
        <w:autoSpaceDE w:val="0"/>
        <w:autoSpaceDN w:val="0"/>
        <w:adjustRightInd w:val="0"/>
        <w:jc w:val="both"/>
        <w:rPr>
          <w:lang w:val="en-GB" w:eastAsia="en-GB"/>
        </w:rPr>
      </w:pPr>
    </w:p>
    <w:p w14:paraId="37B7885E"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14:paraId="37B7885F" w14:textId="77777777" w:rsidR="00EB261A" w:rsidRDefault="00EB261A">
      <w:pPr>
        <w:widowControl w:val="0"/>
        <w:autoSpaceDE w:val="0"/>
        <w:autoSpaceDN w:val="0"/>
        <w:adjustRightInd w:val="0"/>
        <w:jc w:val="both"/>
        <w:rPr>
          <w:lang w:val="en-GB" w:eastAsia="en-GB"/>
        </w:rPr>
      </w:pPr>
    </w:p>
    <w:p w14:paraId="37B78860"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62" w14:textId="77777777">
        <w:tc>
          <w:tcPr>
            <w:tcW w:w="10773" w:type="dxa"/>
            <w:shd w:val="clear" w:color="auto" w:fill="A8FFFF"/>
          </w:tcPr>
          <w:p w14:paraId="37B78861"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14:paraId="37B78863" w14:textId="77777777" w:rsidR="00EB261A" w:rsidRDefault="00EB261A">
      <w:pPr>
        <w:widowControl w:val="0"/>
        <w:autoSpaceDE w:val="0"/>
        <w:autoSpaceDN w:val="0"/>
        <w:adjustRightInd w:val="0"/>
        <w:jc w:val="both"/>
        <w:rPr>
          <w:lang w:val="en-GB" w:eastAsia="en-GB"/>
        </w:rPr>
      </w:pPr>
    </w:p>
    <w:p w14:paraId="37B78864" w14:textId="77777777" w:rsidR="00EB261A" w:rsidRDefault="00EB261A">
      <w:pPr>
        <w:widowControl w:val="0"/>
        <w:autoSpaceDE w:val="0"/>
        <w:autoSpaceDN w:val="0"/>
        <w:adjustRightInd w:val="0"/>
        <w:jc w:val="both"/>
        <w:rPr>
          <w:lang w:val="en-GB" w:eastAsia="en-GB"/>
        </w:rPr>
      </w:pPr>
    </w:p>
    <w:p w14:paraId="37B78865"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14:paraId="37B78866" w14:textId="77777777" w:rsidR="00EB261A" w:rsidRDefault="00EB261A">
      <w:pPr>
        <w:widowControl w:val="0"/>
        <w:autoSpaceDE w:val="0"/>
        <w:autoSpaceDN w:val="0"/>
        <w:adjustRightInd w:val="0"/>
        <w:jc w:val="both"/>
        <w:rPr>
          <w:lang w:val="en-GB" w:eastAsia="en-GB"/>
        </w:rPr>
      </w:pPr>
    </w:p>
    <w:p w14:paraId="37B78867"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Before handling the product, consult all the other sections of this material safety data sheet. Avoid leakage of the product into the environment. Do not eat, drink or smoke during use.</w:t>
      </w:r>
    </w:p>
    <w:p w14:paraId="37B78868" w14:textId="77777777" w:rsidR="00EB261A" w:rsidRDefault="00EB261A">
      <w:pPr>
        <w:widowControl w:val="0"/>
        <w:autoSpaceDE w:val="0"/>
        <w:autoSpaceDN w:val="0"/>
        <w:adjustRightInd w:val="0"/>
        <w:jc w:val="both"/>
        <w:rPr>
          <w:lang w:val="en-GB" w:eastAsia="en-GB"/>
        </w:rPr>
      </w:pPr>
    </w:p>
    <w:p w14:paraId="37B78869"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7.2. Conditions for safe storage, including any incompatibilities</w:t>
      </w:r>
    </w:p>
    <w:p w14:paraId="37B7886A" w14:textId="77777777" w:rsidR="00EB261A" w:rsidRDefault="00EB261A">
      <w:pPr>
        <w:widowControl w:val="0"/>
        <w:autoSpaceDE w:val="0"/>
        <w:autoSpaceDN w:val="0"/>
        <w:adjustRightInd w:val="0"/>
        <w:jc w:val="both"/>
        <w:rPr>
          <w:lang w:val="en-GB" w:eastAsia="en-GB"/>
        </w:rPr>
      </w:pPr>
    </w:p>
    <w:p w14:paraId="37B7886B"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Keep the product in clearly labelled containers. Keep containers away from any incompatible materials, see section 10 for details.</w:t>
      </w:r>
    </w:p>
    <w:p w14:paraId="37B7886C" w14:textId="77777777" w:rsidR="00EB261A" w:rsidRDefault="00EB261A">
      <w:pPr>
        <w:widowControl w:val="0"/>
        <w:autoSpaceDE w:val="0"/>
        <w:autoSpaceDN w:val="0"/>
        <w:adjustRightInd w:val="0"/>
        <w:jc w:val="both"/>
        <w:rPr>
          <w:lang w:val="en-GB" w:eastAsia="en-GB"/>
        </w:rPr>
      </w:pPr>
    </w:p>
    <w:p w14:paraId="37B7886D"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14:paraId="37B7886E" w14:textId="77777777" w:rsidR="00EB261A" w:rsidRDefault="00EB261A">
      <w:pPr>
        <w:widowControl w:val="0"/>
        <w:autoSpaceDE w:val="0"/>
        <w:autoSpaceDN w:val="0"/>
        <w:adjustRightInd w:val="0"/>
        <w:jc w:val="both"/>
        <w:rPr>
          <w:lang w:val="en-GB" w:eastAsia="en-GB"/>
        </w:rPr>
      </w:pPr>
    </w:p>
    <w:p w14:paraId="37B7886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37B78870"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72" w14:textId="77777777">
        <w:tc>
          <w:tcPr>
            <w:tcW w:w="10773" w:type="dxa"/>
            <w:shd w:val="clear" w:color="auto" w:fill="A8FFFF"/>
          </w:tcPr>
          <w:p w14:paraId="37B78871"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14:paraId="37B78873"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75" w14:textId="77777777">
        <w:tc>
          <w:tcPr>
            <w:tcW w:w="10773" w:type="dxa"/>
            <w:shd w:val="clear" w:color="auto" w:fill="FFFFFF"/>
          </w:tcPr>
          <w:p w14:paraId="37B78874"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14:paraId="37B78876" w14:textId="77777777" w:rsidR="00EB261A" w:rsidRDefault="00EB261A">
      <w:pPr>
        <w:widowControl w:val="0"/>
        <w:autoSpaceDE w:val="0"/>
        <w:autoSpaceDN w:val="0"/>
        <w:adjustRightInd w:val="0"/>
        <w:jc w:val="both"/>
        <w:rPr>
          <w:lang w:val="en-GB" w:eastAsia="en-GB"/>
        </w:rPr>
      </w:pPr>
    </w:p>
    <w:p w14:paraId="37B78877"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37B78878"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7A" w14:textId="77777777">
        <w:tc>
          <w:tcPr>
            <w:tcW w:w="10773" w:type="dxa"/>
            <w:shd w:val="clear" w:color="auto" w:fill="FFFFFF"/>
          </w:tcPr>
          <w:p w14:paraId="37B78879"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14:paraId="37B7887B" w14:textId="77777777" w:rsidR="00EB261A" w:rsidRDefault="00EB261A">
      <w:pPr>
        <w:widowControl w:val="0"/>
        <w:autoSpaceDE w:val="0"/>
        <w:autoSpaceDN w:val="0"/>
        <w:adjustRightInd w:val="0"/>
        <w:jc w:val="both"/>
        <w:rPr>
          <w:lang w:val="en-GB" w:eastAsia="en-GB"/>
        </w:rPr>
      </w:pPr>
    </w:p>
    <w:p w14:paraId="37B7887C"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As the use of adequate technical equipment must always take priority over personal protective equipment, make sure that the workplace is well aired through effective local aspiration.</w:t>
      </w:r>
    </w:p>
    <w:p w14:paraId="37B7887D"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When choosing personal protective equipment, ask your chemical substance supplier for advice.</w:t>
      </w:r>
    </w:p>
    <w:p w14:paraId="37B7887E"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Personal protective equipment must be CE marked, showing that it complies with applicable standards.</w:t>
      </w:r>
    </w:p>
    <w:p w14:paraId="37B7887F" w14:textId="77777777" w:rsidR="00EB261A" w:rsidRDefault="00EB261A">
      <w:pPr>
        <w:widowControl w:val="0"/>
        <w:autoSpaceDE w:val="0"/>
        <w:autoSpaceDN w:val="0"/>
        <w:adjustRightInd w:val="0"/>
        <w:jc w:val="both"/>
        <w:rPr>
          <w:lang w:val="en-GB" w:eastAsia="en-GB"/>
        </w:rPr>
      </w:pPr>
    </w:p>
    <w:p w14:paraId="37B78880"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14:paraId="37B78881"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Protect hands with category III work gloves (see standard EN 374).</w:t>
      </w:r>
    </w:p>
    <w:p w14:paraId="37B78882"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should be considered when choosing work glove material: compatibility, degradation, failure time and permeability.</w:t>
      </w:r>
    </w:p>
    <w:p w14:paraId="37B78883"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work gloves' resistance to chemical agents should be checked before use, as it can be unpredictable. The gloves' wear time depends on the duration </w:t>
      </w:r>
      <w:r>
        <w:rPr>
          <w:rFonts w:ascii="Arial" w:hAnsi="Arial" w:cs="Arial"/>
          <w:color w:val="000000"/>
          <w:sz w:val="16"/>
          <w:szCs w:val="16"/>
          <w:lang w:val="en-GB" w:eastAsia="en-GB"/>
        </w:rPr>
        <w:lastRenderedPageBreak/>
        <w:t>and type of use.</w:t>
      </w:r>
    </w:p>
    <w:p w14:paraId="37B78884" w14:textId="77777777" w:rsidR="00EB261A" w:rsidRDefault="00EB261A">
      <w:pPr>
        <w:widowControl w:val="0"/>
        <w:autoSpaceDE w:val="0"/>
        <w:autoSpaceDN w:val="0"/>
        <w:adjustRightInd w:val="0"/>
        <w:jc w:val="both"/>
        <w:rPr>
          <w:lang w:val="en-GB" w:eastAsia="en-GB"/>
        </w:rPr>
      </w:pPr>
    </w:p>
    <w:p w14:paraId="37B78885"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14:paraId="37B78886"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category I professional long-sleeved overalls and safety footwear (see Directive 89/686/EEC and standard EN ISO 20344). Wash body with soap and water after removing protective clothing.</w:t>
      </w:r>
    </w:p>
    <w:p w14:paraId="37B78887" w14:textId="77777777" w:rsidR="00EB261A" w:rsidRDefault="00EB261A">
      <w:pPr>
        <w:widowControl w:val="0"/>
        <w:autoSpaceDE w:val="0"/>
        <w:autoSpaceDN w:val="0"/>
        <w:adjustRightInd w:val="0"/>
        <w:jc w:val="both"/>
        <w:rPr>
          <w:lang w:val="en-GB" w:eastAsia="en-GB"/>
        </w:rPr>
      </w:pPr>
    </w:p>
    <w:p w14:paraId="37B78888"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14:paraId="37B7888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airtight protective goggles (see standard EN 166).</w:t>
      </w:r>
    </w:p>
    <w:p w14:paraId="37B7888A" w14:textId="77777777" w:rsidR="00EB261A" w:rsidRDefault="00EB261A">
      <w:pPr>
        <w:widowControl w:val="0"/>
        <w:autoSpaceDE w:val="0"/>
        <w:autoSpaceDN w:val="0"/>
        <w:adjustRightInd w:val="0"/>
        <w:jc w:val="both"/>
        <w:rPr>
          <w:lang w:val="en-GB" w:eastAsia="en-GB"/>
        </w:rPr>
      </w:pPr>
    </w:p>
    <w:p w14:paraId="37B7888B"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14:paraId="37B7888C"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threshold value (e.g. TLV-TWA) is exceeded for the substance or one of the substances present in the product, use a mask with a type B filter whose class (1, 2 or 3) must be chosen according to the limit of use concentration. (see standard EN 14387). In the presence of gases or vapours of various kinds and/or gases or vapours containing particulate (aerosol sprays, fumes, mists, etc.) combined filters are required.</w:t>
      </w:r>
    </w:p>
    <w:p w14:paraId="37B7888D"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 devices must be used if the technical measures adopted are not suitable for restricting the worker's exposure to the threshold values considered. The protection provided by masks is in any case limited.</w:t>
      </w:r>
    </w:p>
    <w:p w14:paraId="37B7888E"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substance considered is odourless or its olfactory threshold is higher than the corresponding TLV-TWA and in the case of an emergency, wear open-circuit compressed air breathing apparatus (in compliance with standard EN 137) or external air-intake breathing apparatus (in compliance with standard EN 138). For a correct choice of respiratory protection device, see standard EN 529.</w:t>
      </w:r>
    </w:p>
    <w:p w14:paraId="37B7888F" w14:textId="77777777" w:rsidR="00EB261A" w:rsidRDefault="00EB261A">
      <w:pPr>
        <w:widowControl w:val="0"/>
        <w:autoSpaceDE w:val="0"/>
        <w:autoSpaceDN w:val="0"/>
        <w:adjustRightInd w:val="0"/>
        <w:jc w:val="both"/>
        <w:rPr>
          <w:lang w:val="en-GB" w:eastAsia="en-GB"/>
        </w:rPr>
      </w:pPr>
    </w:p>
    <w:p w14:paraId="37B78890"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14:paraId="37B78891" w14:textId="77777777" w:rsidR="00EB261A" w:rsidRDefault="00EB261A">
      <w:pPr>
        <w:widowControl w:val="0"/>
        <w:autoSpaceDE w:val="0"/>
        <w:autoSpaceDN w:val="0"/>
        <w:adjustRightInd w:val="0"/>
        <w:jc w:val="both"/>
        <w:rPr>
          <w:lang w:val="en-GB" w:eastAsia="en-GB"/>
        </w:rPr>
      </w:pPr>
    </w:p>
    <w:p w14:paraId="37B78892"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 should be checked to ensure compliance with environmental standards.</w:t>
      </w:r>
    </w:p>
    <w:p w14:paraId="37B78893"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95" w14:textId="77777777">
        <w:tc>
          <w:tcPr>
            <w:tcW w:w="10773" w:type="dxa"/>
            <w:shd w:val="clear" w:color="auto" w:fill="A8FFFF"/>
          </w:tcPr>
          <w:p w14:paraId="37B78894"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chemical properties</w:t>
            </w:r>
          </w:p>
        </w:tc>
      </w:tr>
    </w:tbl>
    <w:p w14:paraId="37B78896"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98" w14:textId="77777777">
        <w:tc>
          <w:tcPr>
            <w:tcW w:w="10773" w:type="dxa"/>
            <w:shd w:val="clear" w:color="auto" w:fill="FFFFFF"/>
          </w:tcPr>
          <w:p w14:paraId="37B78897"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14:paraId="37B78899"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EB261A" w14:paraId="37B7889C" w14:textId="77777777">
        <w:tc>
          <w:tcPr>
            <w:tcW w:w="3402" w:type="dxa"/>
            <w:shd w:val="clear" w:color="auto" w:fill="FFFFFF"/>
          </w:tcPr>
          <w:p w14:paraId="37B7889A"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14:paraId="37B7889B"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liquid</w:t>
            </w:r>
          </w:p>
        </w:tc>
      </w:tr>
      <w:tr w:rsidR="00EB261A" w14:paraId="37B7889F" w14:textId="77777777">
        <w:tc>
          <w:tcPr>
            <w:tcW w:w="3402" w:type="dxa"/>
            <w:shd w:val="clear" w:color="auto" w:fill="FFFFFF"/>
          </w:tcPr>
          <w:p w14:paraId="37B7889D"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14:paraId="37B7889E"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red</w:t>
            </w:r>
          </w:p>
        </w:tc>
      </w:tr>
      <w:tr w:rsidR="00EB261A" w14:paraId="37B788A2" w14:textId="77777777">
        <w:tc>
          <w:tcPr>
            <w:tcW w:w="3402" w:type="dxa"/>
            <w:shd w:val="clear" w:color="auto" w:fill="FFFFFF"/>
          </w:tcPr>
          <w:p w14:paraId="37B788A0"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14:paraId="37B788A1"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characteristic</w:t>
            </w:r>
          </w:p>
        </w:tc>
      </w:tr>
      <w:tr w:rsidR="00EB261A" w14:paraId="37B788A5" w14:textId="77777777">
        <w:tc>
          <w:tcPr>
            <w:tcW w:w="3402" w:type="dxa"/>
            <w:shd w:val="clear" w:color="auto" w:fill="FFFFFF"/>
          </w:tcPr>
          <w:p w14:paraId="37B788A3"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14:paraId="37B788A4"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A8" w14:textId="77777777">
        <w:tc>
          <w:tcPr>
            <w:tcW w:w="3402" w:type="dxa"/>
            <w:shd w:val="clear" w:color="auto" w:fill="FFFFFF"/>
          </w:tcPr>
          <w:p w14:paraId="37B788A6"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14:paraId="37B788A7"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8-10</w:t>
            </w:r>
          </w:p>
        </w:tc>
      </w:tr>
      <w:tr w:rsidR="00EB261A" w14:paraId="37B788AB" w14:textId="77777777">
        <w:tc>
          <w:tcPr>
            <w:tcW w:w="3402" w:type="dxa"/>
            <w:shd w:val="clear" w:color="auto" w:fill="FFFFFF"/>
          </w:tcPr>
          <w:p w14:paraId="37B788A9"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14:paraId="37B788AA"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AE" w14:textId="77777777">
        <w:tc>
          <w:tcPr>
            <w:tcW w:w="3402" w:type="dxa"/>
            <w:shd w:val="clear" w:color="auto" w:fill="FFFFFF"/>
          </w:tcPr>
          <w:p w14:paraId="37B788AC"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14:paraId="37B788AD"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B1" w14:textId="77777777">
        <w:tc>
          <w:tcPr>
            <w:tcW w:w="3402" w:type="dxa"/>
            <w:shd w:val="clear" w:color="auto" w:fill="FFFFFF"/>
          </w:tcPr>
          <w:p w14:paraId="37B788AF"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14:paraId="37B788B0"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B4" w14:textId="77777777">
        <w:tc>
          <w:tcPr>
            <w:tcW w:w="3402" w:type="dxa"/>
            <w:shd w:val="clear" w:color="auto" w:fill="FFFFFF"/>
          </w:tcPr>
          <w:p w14:paraId="37B788B2"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14:paraId="37B788B3"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&gt; 100 °C</w:t>
            </w:r>
          </w:p>
        </w:tc>
      </w:tr>
      <w:tr w:rsidR="00EB261A" w14:paraId="37B788B7" w14:textId="77777777">
        <w:tc>
          <w:tcPr>
            <w:tcW w:w="3402" w:type="dxa"/>
            <w:shd w:val="clear" w:color="auto" w:fill="FFFFFF"/>
          </w:tcPr>
          <w:p w14:paraId="37B788B5"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14:paraId="37B788B6"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BA" w14:textId="77777777">
        <w:tc>
          <w:tcPr>
            <w:tcW w:w="3402" w:type="dxa"/>
            <w:shd w:val="clear" w:color="auto" w:fill="FFFFFF"/>
          </w:tcPr>
          <w:p w14:paraId="37B788B8"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14:paraId="37B788B9"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BD" w14:textId="77777777">
        <w:tc>
          <w:tcPr>
            <w:tcW w:w="3402" w:type="dxa"/>
            <w:shd w:val="clear" w:color="auto" w:fill="FFFFFF"/>
          </w:tcPr>
          <w:p w14:paraId="37B788BB"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inflammability limit</w:t>
            </w:r>
          </w:p>
        </w:tc>
        <w:tc>
          <w:tcPr>
            <w:tcW w:w="5670" w:type="dxa"/>
            <w:shd w:val="clear" w:color="auto" w:fill="FFFFFF"/>
          </w:tcPr>
          <w:p w14:paraId="37B788BC"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C0" w14:textId="77777777">
        <w:tc>
          <w:tcPr>
            <w:tcW w:w="3402" w:type="dxa"/>
            <w:shd w:val="clear" w:color="auto" w:fill="FFFFFF"/>
          </w:tcPr>
          <w:p w14:paraId="37B788BE"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inflammability limit</w:t>
            </w:r>
          </w:p>
        </w:tc>
        <w:tc>
          <w:tcPr>
            <w:tcW w:w="5670" w:type="dxa"/>
            <w:shd w:val="clear" w:color="auto" w:fill="FFFFFF"/>
          </w:tcPr>
          <w:p w14:paraId="37B788BF"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C3" w14:textId="77777777">
        <w:tc>
          <w:tcPr>
            <w:tcW w:w="3402" w:type="dxa"/>
            <w:shd w:val="clear" w:color="auto" w:fill="FFFFFF"/>
          </w:tcPr>
          <w:p w14:paraId="37B788C1"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14:paraId="37B788C2"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C6" w14:textId="77777777">
        <w:tc>
          <w:tcPr>
            <w:tcW w:w="3402" w:type="dxa"/>
            <w:shd w:val="clear" w:color="auto" w:fill="FFFFFF"/>
          </w:tcPr>
          <w:p w14:paraId="37B788C4"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14:paraId="37B788C5"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C9" w14:textId="77777777">
        <w:tc>
          <w:tcPr>
            <w:tcW w:w="3402" w:type="dxa"/>
            <w:shd w:val="clear" w:color="auto" w:fill="FFFFFF"/>
          </w:tcPr>
          <w:p w14:paraId="37B788C7"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14:paraId="37B788C8"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CC" w14:textId="77777777">
        <w:tc>
          <w:tcPr>
            <w:tcW w:w="3402" w:type="dxa"/>
            <w:shd w:val="clear" w:color="auto" w:fill="FFFFFF"/>
          </w:tcPr>
          <w:p w14:paraId="37B788CA"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14:paraId="37B788CB"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CF" w14:textId="77777777">
        <w:tc>
          <w:tcPr>
            <w:tcW w:w="3402" w:type="dxa"/>
            <w:shd w:val="clear" w:color="auto" w:fill="FFFFFF"/>
          </w:tcPr>
          <w:p w14:paraId="37B788CD"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14:paraId="37B788CE"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D2" w14:textId="77777777">
        <w:tc>
          <w:tcPr>
            <w:tcW w:w="3402" w:type="dxa"/>
            <w:shd w:val="clear" w:color="auto" w:fill="FFFFFF"/>
          </w:tcPr>
          <w:p w14:paraId="37B788D0"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14:paraId="37B788D1"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miscible</w:t>
            </w:r>
          </w:p>
        </w:tc>
      </w:tr>
      <w:tr w:rsidR="00EB261A" w14:paraId="37B788D5" w14:textId="77777777">
        <w:tc>
          <w:tcPr>
            <w:tcW w:w="3402" w:type="dxa"/>
            <w:shd w:val="clear" w:color="auto" w:fill="FFFFFF"/>
          </w:tcPr>
          <w:p w14:paraId="37B788D3"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14:paraId="37B788D4"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D8" w14:textId="77777777">
        <w:tc>
          <w:tcPr>
            <w:tcW w:w="3402" w:type="dxa"/>
            <w:shd w:val="clear" w:color="auto" w:fill="FFFFFF"/>
          </w:tcPr>
          <w:p w14:paraId="37B788D6"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14:paraId="37B788D7"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DB" w14:textId="77777777">
        <w:tc>
          <w:tcPr>
            <w:tcW w:w="3402" w:type="dxa"/>
            <w:shd w:val="clear" w:color="auto" w:fill="FFFFFF"/>
          </w:tcPr>
          <w:p w14:paraId="37B788D9"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14:paraId="37B788DA"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DE" w14:textId="77777777">
        <w:tc>
          <w:tcPr>
            <w:tcW w:w="3402" w:type="dxa"/>
            <w:shd w:val="clear" w:color="auto" w:fill="FFFFFF"/>
          </w:tcPr>
          <w:p w14:paraId="37B788DC"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14:paraId="37B788DD"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E1" w14:textId="77777777">
        <w:tc>
          <w:tcPr>
            <w:tcW w:w="3402" w:type="dxa"/>
            <w:shd w:val="clear" w:color="auto" w:fill="FFFFFF"/>
          </w:tcPr>
          <w:p w14:paraId="37B788DF"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14:paraId="37B788E0"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EB261A" w14:paraId="37B788E4" w14:textId="77777777">
        <w:tc>
          <w:tcPr>
            <w:tcW w:w="3402" w:type="dxa"/>
            <w:shd w:val="clear" w:color="auto" w:fill="FFFFFF"/>
          </w:tcPr>
          <w:p w14:paraId="37B788E2"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14:paraId="37B788E3"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14:paraId="37B788E5"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E7" w14:textId="77777777">
        <w:tc>
          <w:tcPr>
            <w:tcW w:w="10773" w:type="dxa"/>
            <w:shd w:val="clear" w:color="auto" w:fill="FFFFFF"/>
          </w:tcPr>
          <w:p w14:paraId="37B788E6"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14:paraId="37B788E8"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EB261A" w14:paraId="37B788EB" w14:textId="77777777">
        <w:tc>
          <w:tcPr>
            <w:tcW w:w="3402" w:type="dxa"/>
            <w:shd w:val="clear" w:color="auto" w:fill="FFFFFF"/>
          </w:tcPr>
          <w:p w14:paraId="37B788E9"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 :</w:t>
            </w:r>
          </w:p>
        </w:tc>
        <w:tc>
          <w:tcPr>
            <w:tcW w:w="5670" w:type="dxa"/>
            <w:shd w:val="clear" w:color="auto" w:fill="FFFFFF"/>
          </w:tcPr>
          <w:p w14:paraId="37B788EA"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0,03 %    -    0,34    g/litre</w:t>
            </w:r>
          </w:p>
        </w:tc>
      </w:tr>
      <w:tr w:rsidR="00EB261A" w14:paraId="37B788EE" w14:textId="77777777">
        <w:tc>
          <w:tcPr>
            <w:tcW w:w="3402" w:type="dxa"/>
            <w:shd w:val="clear" w:color="auto" w:fill="FFFFFF"/>
          </w:tcPr>
          <w:p w14:paraId="37B788EC"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 :</w:t>
            </w:r>
          </w:p>
        </w:tc>
        <w:tc>
          <w:tcPr>
            <w:tcW w:w="5670" w:type="dxa"/>
            <w:shd w:val="clear" w:color="auto" w:fill="FFFFFF"/>
          </w:tcPr>
          <w:p w14:paraId="37B788ED" w14:textId="77777777" w:rsidR="00EB261A" w:rsidRDefault="005200B9">
            <w:pPr>
              <w:widowControl w:val="0"/>
              <w:autoSpaceDE w:val="0"/>
              <w:autoSpaceDN w:val="0"/>
              <w:adjustRightInd w:val="0"/>
              <w:rPr>
                <w:lang w:val="en-GB" w:eastAsia="en-GB"/>
              </w:rPr>
            </w:pPr>
            <w:r>
              <w:rPr>
                <w:rFonts w:ascii="Arial" w:hAnsi="Arial" w:cs="Arial"/>
                <w:color w:val="000000"/>
                <w:sz w:val="16"/>
                <w:szCs w:val="16"/>
                <w:lang w:val="en-GB" w:eastAsia="en-GB"/>
              </w:rPr>
              <w:t>0,02 %    -    0,19    g/litre</w:t>
            </w:r>
          </w:p>
        </w:tc>
      </w:tr>
    </w:tbl>
    <w:p w14:paraId="37B788EF"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8F1" w14:textId="77777777">
        <w:tc>
          <w:tcPr>
            <w:tcW w:w="10773" w:type="dxa"/>
            <w:shd w:val="clear" w:color="auto" w:fill="A8FFFF"/>
          </w:tcPr>
          <w:p w14:paraId="37B788F0"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14:paraId="37B788F2" w14:textId="77777777" w:rsidR="00EB261A" w:rsidRDefault="00EB261A">
      <w:pPr>
        <w:widowControl w:val="0"/>
        <w:autoSpaceDE w:val="0"/>
        <w:autoSpaceDN w:val="0"/>
        <w:adjustRightInd w:val="0"/>
        <w:jc w:val="both"/>
        <w:rPr>
          <w:lang w:val="en-GB" w:eastAsia="en-GB"/>
        </w:rPr>
      </w:pPr>
    </w:p>
    <w:p w14:paraId="37B788F3"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14:paraId="37B788F4" w14:textId="77777777" w:rsidR="00EB261A" w:rsidRDefault="00EB261A">
      <w:pPr>
        <w:widowControl w:val="0"/>
        <w:autoSpaceDE w:val="0"/>
        <w:autoSpaceDN w:val="0"/>
        <w:adjustRightInd w:val="0"/>
        <w:jc w:val="both"/>
        <w:rPr>
          <w:lang w:val="en-GB" w:eastAsia="en-GB"/>
        </w:rPr>
      </w:pPr>
    </w:p>
    <w:p w14:paraId="37B788F5"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There are no particular risks of reaction with other substances in normal conditions of use.</w:t>
      </w:r>
    </w:p>
    <w:p w14:paraId="37B788F6" w14:textId="77777777" w:rsidR="00EB261A" w:rsidRDefault="00EB261A">
      <w:pPr>
        <w:widowControl w:val="0"/>
        <w:autoSpaceDE w:val="0"/>
        <w:autoSpaceDN w:val="0"/>
        <w:adjustRightInd w:val="0"/>
        <w:jc w:val="both"/>
        <w:rPr>
          <w:lang w:val="en-GB" w:eastAsia="en-GB"/>
        </w:rPr>
      </w:pPr>
    </w:p>
    <w:p w14:paraId="37B788F7"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14:paraId="37B788F8" w14:textId="77777777" w:rsidR="00EB261A" w:rsidRDefault="00EB261A">
      <w:pPr>
        <w:widowControl w:val="0"/>
        <w:autoSpaceDE w:val="0"/>
        <w:autoSpaceDN w:val="0"/>
        <w:adjustRightInd w:val="0"/>
        <w:jc w:val="both"/>
        <w:rPr>
          <w:lang w:val="en-GB" w:eastAsia="en-GB"/>
        </w:rPr>
      </w:pPr>
    </w:p>
    <w:p w14:paraId="37B788F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14:paraId="37B788FA" w14:textId="77777777" w:rsidR="00EB261A" w:rsidRDefault="00EB261A">
      <w:pPr>
        <w:widowControl w:val="0"/>
        <w:autoSpaceDE w:val="0"/>
        <w:autoSpaceDN w:val="0"/>
        <w:adjustRightInd w:val="0"/>
        <w:jc w:val="both"/>
        <w:rPr>
          <w:lang w:val="en-GB" w:eastAsia="en-GB"/>
        </w:rPr>
      </w:pPr>
    </w:p>
    <w:p w14:paraId="37B788FB"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14:paraId="37B788FC" w14:textId="77777777" w:rsidR="00EB261A" w:rsidRDefault="00EB261A">
      <w:pPr>
        <w:widowControl w:val="0"/>
        <w:autoSpaceDE w:val="0"/>
        <w:autoSpaceDN w:val="0"/>
        <w:adjustRightInd w:val="0"/>
        <w:jc w:val="both"/>
        <w:rPr>
          <w:lang w:val="en-GB" w:eastAsia="en-GB"/>
        </w:rPr>
      </w:pPr>
    </w:p>
    <w:p w14:paraId="37B788FD"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hazardous reactions are foreseeable in normal conditions of use and storage.</w:t>
      </w:r>
    </w:p>
    <w:p w14:paraId="37B788FE" w14:textId="77777777" w:rsidR="00EB261A" w:rsidRDefault="00EB261A">
      <w:pPr>
        <w:widowControl w:val="0"/>
        <w:autoSpaceDE w:val="0"/>
        <w:autoSpaceDN w:val="0"/>
        <w:adjustRightInd w:val="0"/>
        <w:jc w:val="both"/>
        <w:rPr>
          <w:lang w:val="en-GB" w:eastAsia="en-GB"/>
        </w:rPr>
      </w:pPr>
    </w:p>
    <w:p w14:paraId="37B788FF"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10.4. Conditions to avoid</w:t>
      </w:r>
    </w:p>
    <w:p w14:paraId="37B78900" w14:textId="77777777" w:rsidR="00EB261A" w:rsidRDefault="00EB261A">
      <w:pPr>
        <w:widowControl w:val="0"/>
        <w:autoSpaceDE w:val="0"/>
        <w:autoSpaceDN w:val="0"/>
        <w:adjustRightInd w:val="0"/>
        <w:jc w:val="both"/>
        <w:rPr>
          <w:lang w:val="en-GB" w:eastAsia="en-GB"/>
        </w:rPr>
      </w:pPr>
    </w:p>
    <w:p w14:paraId="37B78901"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particular. However the usual precautions used for chemical products should be respected.</w:t>
      </w:r>
    </w:p>
    <w:p w14:paraId="37B78902" w14:textId="77777777" w:rsidR="00EB261A" w:rsidRDefault="00EB261A">
      <w:pPr>
        <w:widowControl w:val="0"/>
        <w:autoSpaceDE w:val="0"/>
        <w:autoSpaceDN w:val="0"/>
        <w:adjustRightInd w:val="0"/>
        <w:jc w:val="both"/>
        <w:rPr>
          <w:lang w:val="en-GB" w:eastAsia="en-GB"/>
        </w:rPr>
      </w:pPr>
    </w:p>
    <w:p w14:paraId="37B78903"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14:paraId="37B78904" w14:textId="77777777" w:rsidR="00EB261A" w:rsidRDefault="00EB261A">
      <w:pPr>
        <w:widowControl w:val="0"/>
        <w:autoSpaceDE w:val="0"/>
        <w:autoSpaceDN w:val="0"/>
        <w:adjustRightInd w:val="0"/>
        <w:jc w:val="both"/>
        <w:rPr>
          <w:lang w:val="en-GB" w:eastAsia="en-GB"/>
        </w:rPr>
      </w:pPr>
    </w:p>
    <w:p w14:paraId="37B78905"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37B78906" w14:textId="77777777" w:rsidR="00EB261A" w:rsidRDefault="00EB261A">
      <w:pPr>
        <w:widowControl w:val="0"/>
        <w:autoSpaceDE w:val="0"/>
        <w:autoSpaceDN w:val="0"/>
        <w:adjustRightInd w:val="0"/>
        <w:jc w:val="both"/>
        <w:rPr>
          <w:lang w:val="en-GB" w:eastAsia="en-GB"/>
        </w:rPr>
      </w:pPr>
    </w:p>
    <w:p w14:paraId="37B78907"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14:paraId="37B78908" w14:textId="77777777" w:rsidR="00EB261A" w:rsidRDefault="00EB261A">
      <w:pPr>
        <w:widowControl w:val="0"/>
        <w:autoSpaceDE w:val="0"/>
        <w:autoSpaceDN w:val="0"/>
        <w:adjustRightInd w:val="0"/>
        <w:jc w:val="both"/>
        <w:rPr>
          <w:lang w:val="en-GB" w:eastAsia="en-GB"/>
        </w:rPr>
      </w:pPr>
    </w:p>
    <w:p w14:paraId="37B7890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37B7890A" w14:textId="77777777" w:rsidR="00EB261A" w:rsidRDefault="00EB261A">
      <w:pPr>
        <w:widowControl w:val="0"/>
        <w:autoSpaceDE w:val="0"/>
        <w:autoSpaceDN w:val="0"/>
        <w:adjustRightInd w:val="0"/>
        <w:jc w:val="both"/>
        <w:rPr>
          <w:lang w:val="en-GB" w:eastAsia="en-GB"/>
        </w:rPr>
      </w:pPr>
    </w:p>
    <w:p w14:paraId="37B7890B"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90D" w14:textId="77777777">
        <w:tc>
          <w:tcPr>
            <w:tcW w:w="10773" w:type="dxa"/>
            <w:shd w:val="clear" w:color="auto" w:fill="A8FFFF"/>
          </w:tcPr>
          <w:p w14:paraId="37B7890C"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14:paraId="37B7890E" w14:textId="77777777" w:rsidR="00EB261A" w:rsidRDefault="00EB261A">
      <w:pPr>
        <w:widowControl w:val="0"/>
        <w:autoSpaceDE w:val="0"/>
        <w:autoSpaceDN w:val="0"/>
        <w:adjustRightInd w:val="0"/>
        <w:jc w:val="both"/>
        <w:rPr>
          <w:lang w:val="en-GB" w:eastAsia="en-GB"/>
        </w:rPr>
      </w:pPr>
    </w:p>
    <w:p w14:paraId="37B7890F"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14:paraId="37B78910" w14:textId="77777777" w:rsidR="00EB261A" w:rsidRDefault="00EB261A">
      <w:pPr>
        <w:widowControl w:val="0"/>
        <w:autoSpaceDE w:val="0"/>
        <w:autoSpaceDN w:val="0"/>
        <w:adjustRightInd w:val="0"/>
        <w:jc w:val="both"/>
        <w:rPr>
          <w:lang w:val="en-GB" w:eastAsia="en-GB"/>
        </w:rPr>
      </w:pPr>
    </w:p>
    <w:p w14:paraId="37B78911"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Metabolism, toxicokinetics, mechanism of action and other information</w:t>
      </w:r>
    </w:p>
    <w:p w14:paraId="37B78912" w14:textId="77777777" w:rsidR="00EB261A" w:rsidRDefault="00EB261A">
      <w:pPr>
        <w:widowControl w:val="0"/>
        <w:autoSpaceDE w:val="0"/>
        <w:autoSpaceDN w:val="0"/>
        <w:adjustRightInd w:val="0"/>
        <w:jc w:val="both"/>
        <w:rPr>
          <w:lang w:val="en-GB" w:eastAsia="en-GB"/>
        </w:rPr>
      </w:pPr>
    </w:p>
    <w:p w14:paraId="37B78913"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37B78914" w14:textId="77777777" w:rsidR="00EB261A" w:rsidRDefault="00EB261A">
      <w:pPr>
        <w:widowControl w:val="0"/>
        <w:autoSpaceDE w:val="0"/>
        <w:autoSpaceDN w:val="0"/>
        <w:adjustRightInd w:val="0"/>
        <w:jc w:val="both"/>
        <w:rPr>
          <w:lang w:val="en-GB" w:eastAsia="en-GB"/>
        </w:rPr>
      </w:pPr>
    </w:p>
    <w:p w14:paraId="37B78915"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14:paraId="37B78916" w14:textId="77777777" w:rsidR="00EB261A" w:rsidRDefault="00EB261A">
      <w:pPr>
        <w:widowControl w:val="0"/>
        <w:autoSpaceDE w:val="0"/>
        <w:autoSpaceDN w:val="0"/>
        <w:adjustRightInd w:val="0"/>
        <w:jc w:val="both"/>
        <w:rPr>
          <w:lang w:val="en-GB" w:eastAsia="en-GB"/>
        </w:rPr>
      </w:pPr>
    </w:p>
    <w:p w14:paraId="37B78917"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37B78918" w14:textId="77777777" w:rsidR="00EB261A" w:rsidRDefault="00EB261A">
      <w:pPr>
        <w:widowControl w:val="0"/>
        <w:autoSpaceDE w:val="0"/>
        <w:autoSpaceDN w:val="0"/>
        <w:adjustRightInd w:val="0"/>
        <w:jc w:val="both"/>
        <w:rPr>
          <w:lang w:val="en-GB" w:eastAsia="en-GB"/>
        </w:rPr>
      </w:pPr>
    </w:p>
    <w:p w14:paraId="37B78919"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14:paraId="37B7891A" w14:textId="77777777" w:rsidR="00EB261A" w:rsidRDefault="00EB261A">
      <w:pPr>
        <w:widowControl w:val="0"/>
        <w:autoSpaceDE w:val="0"/>
        <w:autoSpaceDN w:val="0"/>
        <w:adjustRightInd w:val="0"/>
        <w:jc w:val="both"/>
        <w:rPr>
          <w:lang w:val="en-GB" w:eastAsia="en-GB"/>
        </w:rPr>
      </w:pPr>
    </w:p>
    <w:p w14:paraId="37B7891B"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37B7891C" w14:textId="77777777" w:rsidR="00EB261A" w:rsidRDefault="00EB261A">
      <w:pPr>
        <w:widowControl w:val="0"/>
        <w:autoSpaceDE w:val="0"/>
        <w:autoSpaceDN w:val="0"/>
        <w:adjustRightInd w:val="0"/>
        <w:jc w:val="both"/>
        <w:rPr>
          <w:lang w:val="en-GB" w:eastAsia="en-GB"/>
        </w:rPr>
      </w:pPr>
    </w:p>
    <w:p w14:paraId="37B7891D"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14:paraId="37B7891E" w14:textId="77777777" w:rsidR="00EB261A" w:rsidRDefault="00EB261A">
      <w:pPr>
        <w:widowControl w:val="0"/>
        <w:autoSpaceDE w:val="0"/>
        <w:autoSpaceDN w:val="0"/>
        <w:adjustRightInd w:val="0"/>
        <w:jc w:val="both"/>
        <w:rPr>
          <w:lang w:val="en-GB" w:eastAsia="en-GB"/>
        </w:rPr>
      </w:pPr>
    </w:p>
    <w:p w14:paraId="37B7891F"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37B78920" w14:textId="77777777" w:rsidR="00EB261A" w:rsidRDefault="00EB261A">
      <w:pPr>
        <w:widowControl w:val="0"/>
        <w:autoSpaceDE w:val="0"/>
        <w:autoSpaceDN w:val="0"/>
        <w:adjustRightInd w:val="0"/>
        <w:jc w:val="both"/>
        <w:rPr>
          <w:lang w:val="en-GB" w:eastAsia="en-GB"/>
        </w:rPr>
      </w:pPr>
    </w:p>
    <w:p w14:paraId="37B78921"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14:paraId="37B78922" w14:textId="77777777" w:rsidR="00EB261A" w:rsidRDefault="00EB261A">
      <w:pPr>
        <w:widowControl w:val="0"/>
        <w:autoSpaceDE w:val="0"/>
        <w:autoSpaceDN w:val="0"/>
        <w:adjustRightInd w:val="0"/>
        <w:jc w:val="both"/>
        <w:rPr>
          <w:lang w:val="en-GB" w:eastAsia="en-GB"/>
        </w:rPr>
      </w:pPr>
    </w:p>
    <w:p w14:paraId="37B78923"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of the mixture:Not classified (no significant component)</w:t>
      </w:r>
    </w:p>
    <w:p w14:paraId="37B78924"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of the mixture:Not classified (no significant component)</w:t>
      </w:r>
    </w:p>
    <w:p w14:paraId="37B78925"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of the mixture:Not classified (no significant component)</w:t>
      </w:r>
    </w:p>
    <w:p w14:paraId="37B78926" w14:textId="77777777" w:rsidR="00EB261A" w:rsidRDefault="00EB261A">
      <w:pPr>
        <w:widowControl w:val="0"/>
        <w:autoSpaceDE w:val="0"/>
        <w:autoSpaceDN w:val="0"/>
        <w:adjustRightInd w:val="0"/>
        <w:jc w:val="both"/>
        <w:rPr>
          <w:lang w:val="en-GB" w:eastAsia="en-GB"/>
        </w:rPr>
      </w:pPr>
    </w:p>
    <w:p w14:paraId="37B78927" w14:textId="77777777" w:rsidR="00EB261A" w:rsidRDefault="00EB261A">
      <w:pPr>
        <w:widowControl w:val="0"/>
        <w:autoSpaceDE w:val="0"/>
        <w:autoSpaceDN w:val="0"/>
        <w:adjustRightInd w:val="0"/>
        <w:jc w:val="both"/>
        <w:rPr>
          <w:lang w:val="en-GB" w:eastAsia="en-GB"/>
        </w:rPr>
      </w:pPr>
    </w:p>
    <w:p w14:paraId="37B78928"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14:paraId="37B78929" w14:textId="77777777" w:rsidR="00EB261A" w:rsidRDefault="00EB261A">
      <w:pPr>
        <w:widowControl w:val="0"/>
        <w:autoSpaceDE w:val="0"/>
        <w:autoSpaceDN w:val="0"/>
        <w:adjustRightInd w:val="0"/>
        <w:jc w:val="both"/>
        <w:rPr>
          <w:lang w:val="en-GB" w:eastAsia="en-GB"/>
        </w:rPr>
      </w:pPr>
    </w:p>
    <w:p w14:paraId="37B7892A"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37B7892B" w14:textId="77777777" w:rsidR="00EB261A" w:rsidRDefault="00EB261A">
      <w:pPr>
        <w:widowControl w:val="0"/>
        <w:autoSpaceDE w:val="0"/>
        <w:autoSpaceDN w:val="0"/>
        <w:adjustRightInd w:val="0"/>
        <w:jc w:val="both"/>
        <w:rPr>
          <w:lang w:val="en-GB" w:eastAsia="en-GB"/>
        </w:rPr>
      </w:pPr>
    </w:p>
    <w:p w14:paraId="37B7892C"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14:paraId="37B7892D" w14:textId="77777777" w:rsidR="00EB261A" w:rsidRDefault="00EB261A">
      <w:pPr>
        <w:widowControl w:val="0"/>
        <w:autoSpaceDE w:val="0"/>
        <w:autoSpaceDN w:val="0"/>
        <w:adjustRightInd w:val="0"/>
        <w:jc w:val="both"/>
        <w:rPr>
          <w:lang w:val="en-GB" w:eastAsia="en-GB"/>
        </w:rPr>
      </w:pPr>
    </w:p>
    <w:p w14:paraId="37B7892E"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37B7892F" w14:textId="77777777" w:rsidR="00EB261A" w:rsidRDefault="00EB261A">
      <w:pPr>
        <w:widowControl w:val="0"/>
        <w:autoSpaceDE w:val="0"/>
        <w:autoSpaceDN w:val="0"/>
        <w:adjustRightInd w:val="0"/>
        <w:jc w:val="both"/>
        <w:rPr>
          <w:lang w:val="en-GB" w:eastAsia="en-GB"/>
        </w:rPr>
      </w:pPr>
    </w:p>
    <w:p w14:paraId="37B78930"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14:paraId="37B78931" w14:textId="77777777" w:rsidR="00EB261A" w:rsidRDefault="00EB261A">
      <w:pPr>
        <w:widowControl w:val="0"/>
        <w:autoSpaceDE w:val="0"/>
        <w:autoSpaceDN w:val="0"/>
        <w:adjustRightInd w:val="0"/>
        <w:jc w:val="both"/>
        <w:rPr>
          <w:lang w:val="en-GB" w:eastAsia="en-GB"/>
        </w:rPr>
      </w:pPr>
    </w:p>
    <w:p w14:paraId="37B78932"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May produce an allergic reaction.Contains:</w:t>
      </w:r>
    </w:p>
    <w:p w14:paraId="37B78933"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14:paraId="37B78934" w14:textId="77777777" w:rsidR="00EB261A" w:rsidRDefault="00EB261A">
      <w:pPr>
        <w:widowControl w:val="0"/>
        <w:autoSpaceDE w:val="0"/>
        <w:autoSpaceDN w:val="0"/>
        <w:adjustRightInd w:val="0"/>
        <w:jc w:val="both"/>
        <w:rPr>
          <w:lang w:val="en-GB" w:eastAsia="en-GB"/>
        </w:rPr>
      </w:pPr>
    </w:p>
    <w:p w14:paraId="37B78935"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37B78936" w14:textId="77777777" w:rsidR="00EB261A" w:rsidRDefault="00EB261A">
      <w:pPr>
        <w:widowControl w:val="0"/>
        <w:autoSpaceDE w:val="0"/>
        <w:autoSpaceDN w:val="0"/>
        <w:adjustRightInd w:val="0"/>
        <w:jc w:val="both"/>
        <w:rPr>
          <w:lang w:val="en-GB" w:eastAsia="en-GB"/>
        </w:rPr>
      </w:pPr>
    </w:p>
    <w:p w14:paraId="37B78937"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14:paraId="37B78938" w14:textId="77777777" w:rsidR="00EB261A" w:rsidRDefault="00EB261A">
      <w:pPr>
        <w:widowControl w:val="0"/>
        <w:autoSpaceDE w:val="0"/>
        <w:autoSpaceDN w:val="0"/>
        <w:adjustRightInd w:val="0"/>
        <w:jc w:val="both"/>
        <w:rPr>
          <w:lang w:val="en-GB" w:eastAsia="en-GB"/>
        </w:rPr>
      </w:pPr>
    </w:p>
    <w:p w14:paraId="37B78939"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37B7893A" w14:textId="77777777" w:rsidR="00EB261A" w:rsidRDefault="00EB261A">
      <w:pPr>
        <w:widowControl w:val="0"/>
        <w:autoSpaceDE w:val="0"/>
        <w:autoSpaceDN w:val="0"/>
        <w:adjustRightInd w:val="0"/>
        <w:jc w:val="both"/>
        <w:rPr>
          <w:lang w:val="en-GB" w:eastAsia="en-GB"/>
        </w:rPr>
      </w:pPr>
    </w:p>
    <w:p w14:paraId="37B7893B"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TOXICITY</w:t>
      </w:r>
    </w:p>
    <w:p w14:paraId="37B7893C" w14:textId="77777777" w:rsidR="00EB261A" w:rsidRDefault="00EB261A">
      <w:pPr>
        <w:widowControl w:val="0"/>
        <w:autoSpaceDE w:val="0"/>
        <w:autoSpaceDN w:val="0"/>
        <w:adjustRightInd w:val="0"/>
        <w:jc w:val="both"/>
        <w:rPr>
          <w:lang w:val="en-GB" w:eastAsia="en-GB"/>
        </w:rPr>
      </w:pPr>
    </w:p>
    <w:p w14:paraId="37B7893D"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37B7893E" w14:textId="77777777" w:rsidR="00EB261A" w:rsidRDefault="00EB261A">
      <w:pPr>
        <w:widowControl w:val="0"/>
        <w:autoSpaceDE w:val="0"/>
        <w:autoSpaceDN w:val="0"/>
        <w:adjustRightInd w:val="0"/>
        <w:jc w:val="both"/>
        <w:rPr>
          <w:lang w:val="en-GB" w:eastAsia="en-GB"/>
        </w:rPr>
      </w:pPr>
    </w:p>
    <w:p w14:paraId="37B7893F"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14:paraId="37B78940" w14:textId="77777777" w:rsidR="00EB261A" w:rsidRDefault="00EB261A">
      <w:pPr>
        <w:widowControl w:val="0"/>
        <w:autoSpaceDE w:val="0"/>
        <w:autoSpaceDN w:val="0"/>
        <w:adjustRightInd w:val="0"/>
        <w:jc w:val="both"/>
        <w:rPr>
          <w:lang w:val="en-GB" w:eastAsia="en-GB"/>
        </w:rPr>
      </w:pPr>
    </w:p>
    <w:p w14:paraId="37B78941"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37B78942" w14:textId="77777777" w:rsidR="00EB261A" w:rsidRDefault="00EB261A">
      <w:pPr>
        <w:widowControl w:val="0"/>
        <w:autoSpaceDE w:val="0"/>
        <w:autoSpaceDN w:val="0"/>
        <w:adjustRightInd w:val="0"/>
        <w:jc w:val="both"/>
        <w:rPr>
          <w:lang w:val="en-GB" w:eastAsia="en-GB"/>
        </w:rPr>
      </w:pPr>
    </w:p>
    <w:p w14:paraId="37B78943"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14:paraId="37B78944" w14:textId="77777777" w:rsidR="00EB261A" w:rsidRDefault="00EB261A">
      <w:pPr>
        <w:widowControl w:val="0"/>
        <w:autoSpaceDE w:val="0"/>
        <w:autoSpaceDN w:val="0"/>
        <w:adjustRightInd w:val="0"/>
        <w:jc w:val="both"/>
        <w:rPr>
          <w:lang w:val="en-GB" w:eastAsia="en-GB"/>
        </w:rPr>
      </w:pPr>
    </w:p>
    <w:p w14:paraId="37B78945"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37B78946" w14:textId="77777777" w:rsidR="00EB261A" w:rsidRDefault="00EB261A">
      <w:pPr>
        <w:widowControl w:val="0"/>
        <w:autoSpaceDE w:val="0"/>
        <w:autoSpaceDN w:val="0"/>
        <w:adjustRightInd w:val="0"/>
        <w:jc w:val="both"/>
        <w:rPr>
          <w:lang w:val="en-GB" w:eastAsia="en-GB"/>
        </w:rPr>
      </w:pPr>
    </w:p>
    <w:p w14:paraId="37B78947"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14:paraId="37B78948" w14:textId="77777777" w:rsidR="00EB261A" w:rsidRDefault="00EB261A">
      <w:pPr>
        <w:widowControl w:val="0"/>
        <w:autoSpaceDE w:val="0"/>
        <w:autoSpaceDN w:val="0"/>
        <w:adjustRightInd w:val="0"/>
        <w:jc w:val="both"/>
        <w:rPr>
          <w:lang w:val="en-GB" w:eastAsia="en-GB"/>
        </w:rPr>
      </w:pPr>
    </w:p>
    <w:p w14:paraId="37B78949" w14:textId="77777777" w:rsidR="00EB261A" w:rsidRDefault="005200B9">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14:paraId="37B7894A" w14:textId="77777777" w:rsidR="00EB261A" w:rsidRDefault="00EB261A">
      <w:pPr>
        <w:widowControl w:val="0"/>
        <w:autoSpaceDE w:val="0"/>
        <w:autoSpaceDN w:val="0"/>
        <w:adjustRightInd w:val="0"/>
        <w:jc w:val="both"/>
        <w:rPr>
          <w:lang w:val="en-GB" w:eastAsia="en-GB"/>
        </w:rPr>
      </w:pPr>
    </w:p>
    <w:p w14:paraId="37B7894B"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94D" w14:textId="77777777">
        <w:tc>
          <w:tcPr>
            <w:tcW w:w="10773" w:type="dxa"/>
            <w:shd w:val="clear" w:color="auto" w:fill="A8FFFF"/>
          </w:tcPr>
          <w:p w14:paraId="37B7894C"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14:paraId="37B7894E" w14:textId="77777777" w:rsidR="00EB261A" w:rsidRDefault="00EB261A">
      <w:pPr>
        <w:widowControl w:val="0"/>
        <w:autoSpaceDE w:val="0"/>
        <w:autoSpaceDN w:val="0"/>
        <w:adjustRightInd w:val="0"/>
        <w:jc w:val="both"/>
        <w:rPr>
          <w:lang w:val="en-GB" w:eastAsia="en-GB"/>
        </w:rPr>
      </w:pPr>
    </w:p>
    <w:p w14:paraId="37B7894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this product according to good working practices. Avoid littering. Inform the competent authorities, should the product reach waterways or contaminate soil or vegetation.</w:t>
      </w:r>
    </w:p>
    <w:p w14:paraId="37B78950" w14:textId="77777777" w:rsidR="00EB261A" w:rsidRDefault="00EB261A">
      <w:pPr>
        <w:widowControl w:val="0"/>
        <w:autoSpaceDE w:val="0"/>
        <w:autoSpaceDN w:val="0"/>
        <w:adjustRightInd w:val="0"/>
        <w:jc w:val="both"/>
        <w:rPr>
          <w:lang w:val="en-GB" w:eastAsia="en-GB"/>
        </w:rPr>
      </w:pPr>
    </w:p>
    <w:p w14:paraId="37B78951"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14:paraId="37B78952" w14:textId="77777777" w:rsidR="00EB261A" w:rsidRDefault="00EB261A">
      <w:pPr>
        <w:widowControl w:val="0"/>
        <w:autoSpaceDE w:val="0"/>
        <w:autoSpaceDN w:val="0"/>
        <w:adjustRightInd w:val="0"/>
        <w:jc w:val="both"/>
        <w:rPr>
          <w:lang w:val="en-GB" w:eastAsia="en-GB"/>
        </w:rPr>
      </w:pPr>
    </w:p>
    <w:p w14:paraId="37B78953"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37B78954" w14:textId="77777777" w:rsidR="00EB261A" w:rsidRDefault="00EB261A">
      <w:pPr>
        <w:widowControl w:val="0"/>
        <w:autoSpaceDE w:val="0"/>
        <w:autoSpaceDN w:val="0"/>
        <w:adjustRightInd w:val="0"/>
        <w:jc w:val="both"/>
        <w:rPr>
          <w:lang w:val="en-GB" w:eastAsia="en-GB"/>
        </w:rPr>
      </w:pPr>
    </w:p>
    <w:p w14:paraId="37B78955"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957" w14:textId="77777777">
        <w:tc>
          <w:tcPr>
            <w:tcW w:w="10773" w:type="dxa"/>
            <w:shd w:val="clear" w:color="auto" w:fill="FFFFFF"/>
          </w:tcPr>
          <w:p w14:paraId="37B78956"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14:paraId="37B78958" w14:textId="77777777" w:rsidR="00EB261A" w:rsidRDefault="00EB261A">
      <w:pPr>
        <w:widowControl w:val="0"/>
        <w:autoSpaceDE w:val="0"/>
        <w:autoSpaceDN w:val="0"/>
        <w:adjustRightInd w:val="0"/>
        <w:jc w:val="both"/>
        <w:rPr>
          <w:lang w:val="en-GB" w:eastAsia="en-GB"/>
        </w:rPr>
      </w:pPr>
    </w:p>
    <w:p w14:paraId="37B7895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37B7895A" w14:textId="77777777" w:rsidR="00EB261A" w:rsidRDefault="00EB261A">
      <w:pPr>
        <w:widowControl w:val="0"/>
        <w:autoSpaceDE w:val="0"/>
        <w:autoSpaceDN w:val="0"/>
        <w:adjustRightInd w:val="0"/>
        <w:jc w:val="both"/>
        <w:rPr>
          <w:lang w:val="en-GB" w:eastAsia="en-GB"/>
        </w:rPr>
      </w:pPr>
    </w:p>
    <w:p w14:paraId="37B7895B"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12.3. Bioaccumulative potential</w:t>
      </w:r>
    </w:p>
    <w:p w14:paraId="37B7895C"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37B7895D" w14:textId="77777777" w:rsidR="00EB261A" w:rsidRDefault="00EB261A">
      <w:pPr>
        <w:widowControl w:val="0"/>
        <w:autoSpaceDE w:val="0"/>
        <w:autoSpaceDN w:val="0"/>
        <w:adjustRightInd w:val="0"/>
        <w:jc w:val="both"/>
        <w:rPr>
          <w:lang w:val="en-GB" w:eastAsia="en-GB"/>
        </w:rPr>
      </w:pPr>
    </w:p>
    <w:p w14:paraId="37B7895E"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14:paraId="37B7895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37B78960" w14:textId="77777777" w:rsidR="00EB261A" w:rsidRDefault="00EB261A">
      <w:pPr>
        <w:widowControl w:val="0"/>
        <w:autoSpaceDE w:val="0"/>
        <w:autoSpaceDN w:val="0"/>
        <w:adjustRightInd w:val="0"/>
        <w:jc w:val="both"/>
        <w:rPr>
          <w:lang w:val="en-GB" w:eastAsia="en-GB"/>
        </w:rPr>
      </w:pPr>
    </w:p>
    <w:p w14:paraId="37B78961"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12.5. Results of PBT and vPvB assessment</w:t>
      </w:r>
    </w:p>
    <w:p w14:paraId="37B78962"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14:paraId="37B78963"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lastRenderedPageBreak/>
        <w:t>12.6. Other adverse effects</w:t>
      </w:r>
    </w:p>
    <w:p w14:paraId="37B78964"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37B78965" w14:textId="77777777" w:rsidR="00EB261A" w:rsidRDefault="00EB261A">
      <w:pPr>
        <w:widowControl w:val="0"/>
        <w:autoSpaceDE w:val="0"/>
        <w:autoSpaceDN w:val="0"/>
        <w:adjustRightInd w:val="0"/>
        <w:jc w:val="both"/>
        <w:rPr>
          <w:lang w:val="en-GB" w:eastAsia="en-GB"/>
        </w:rPr>
      </w:pPr>
    </w:p>
    <w:p w14:paraId="37B78966"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968" w14:textId="77777777">
        <w:tc>
          <w:tcPr>
            <w:tcW w:w="10773" w:type="dxa"/>
            <w:shd w:val="clear" w:color="auto" w:fill="A8FFFF"/>
          </w:tcPr>
          <w:p w14:paraId="37B78967"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14:paraId="37B78969" w14:textId="77777777" w:rsidR="00EB261A" w:rsidRDefault="00EB261A">
      <w:pPr>
        <w:widowControl w:val="0"/>
        <w:autoSpaceDE w:val="0"/>
        <w:autoSpaceDN w:val="0"/>
        <w:adjustRightInd w:val="0"/>
        <w:jc w:val="both"/>
        <w:rPr>
          <w:lang w:val="en-GB" w:eastAsia="en-GB"/>
        </w:rPr>
      </w:pPr>
    </w:p>
    <w:p w14:paraId="37B7896A" w14:textId="77777777" w:rsidR="00EB261A" w:rsidRDefault="00EB261A">
      <w:pPr>
        <w:widowControl w:val="0"/>
        <w:autoSpaceDE w:val="0"/>
        <w:autoSpaceDN w:val="0"/>
        <w:adjustRightInd w:val="0"/>
        <w:jc w:val="both"/>
        <w:rPr>
          <w:lang w:val="en-GB" w:eastAsia="en-GB"/>
        </w:rPr>
      </w:pPr>
    </w:p>
    <w:p w14:paraId="37B7896B"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13.1. Waste treatment methods</w:t>
      </w:r>
    </w:p>
    <w:p w14:paraId="37B7896C" w14:textId="77777777" w:rsidR="00EB261A" w:rsidRDefault="00EB261A">
      <w:pPr>
        <w:widowControl w:val="0"/>
        <w:autoSpaceDE w:val="0"/>
        <w:autoSpaceDN w:val="0"/>
        <w:adjustRightInd w:val="0"/>
        <w:jc w:val="both"/>
        <w:rPr>
          <w:lang w:val="en-GB" w:eastAsia="en-GB"/>
        </w:rPr>
      </w:pPr>
    </w:p>
    <w:p w14:paraId="37B7896D"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Neat product residues should be considered special non-hazardous waste.</w:t>
      </w:r>
    </w:p>
    <w:p w14:paraId="37B7896E"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management firm, in compliance with national and local regulations.</w:t>
      </w:r>
    </w:p>
    <w:p w14:paraId="37B7896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14:paraId="37B78970"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management regulations.</w:t>
      </w:r>
    </w:p>
    <w:p w14:paraId="37B78971"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973" w14:textId="77777777">
        <w:tc>
          <w:tcPr>
            <w:tcW w:w="10773" w:type="dxa"/>
            <w:shd w:val="clear" w:color="auto" w:fill="A8FFFF"/>
          </w:tcPr>
          <w:p w14:paraId="37B78972"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14:paraId="37B78974" w14:textId="77777777" w:rsidR="00EB261A" w:rsidRDefault="00EB261A">
      <w:pPr>
        <w:widowControl w:val="0"/>
        <w:autoSpaceDE w:val="0"/>
        <w:autoSpaceDN w:val="0"/>
        <w:adjustRightInd w:val="0"/>
        <w:jc w:val="both"/>
        <w:rPr>
          <w:lang w:val="en-GB" w:eastAsia="en-GB"/>
        </w:rPr>
      </w:pPr>
    </w:p>
    <w:p w14:paraId="37B78975" w14:textId="77777777" w:rsidR="00EB261A" w:rsidRDefault="00EB261A">
      <w:pPr>
        <w:widowControl w:val="0"/>
        <w:autoSpaceDE w:val="0"/>
        <w:autoSpaceDN w:val="0"/>
        <w:adjustRightInd w:val="0"/>
        <w:jc w:val="both"/>
        <w:rPr>
          <w:lang w:val="en-GB" w:eastAsia="en-GB"/>
        </w:rPr>
      </w:pPr>
    </w:p>
    <w:p w14:paraId="37B78976"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dangerous under current provisions of the Code of International Carriage of Dangerous Goods by Road (ADR) and by Rail (RID), of the International Maritime Dangerous Goods Code (IMDG), and of the International Air Transport Association (IATA) regulations.</w:t>
      </w:r>
    </w:p>
    <w:p w14:paraId="37B78977" w14:textId="77777777" w:rsidR="00EB261A" w:rsidRDefault="00EB261A">
      <w:pPr>
        <w:widowControl w:val="0"/>
        <w:autoSpaceDE w:val="0"/>
        <w:autoSpaceDN w:val="0"/>
        <w:adjustRightInd w:val="0"/>
        <w:jc w:val="both"/>
        <w:rPr>
          <w:lang w:val="en-GB" w:eastAsia="en-GB"/>
        </w:rPr>
      </w:pPr>
    </w:p>
    <w:p w14:paraId="37B78978"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14:paraId="37B78979" w14:textId="77777777" w:rsidR="00EB261A" w:rsidRDefault="00EB261A">
      <w:pPr>
        <w:widowControl w:val="0"/>
        <w:autoSpaceDE w:val="0"/>
        <w:autoSpaceDN w:val="0"/>
        <w:adjustRightInd w:val="0"/>
        <w:jc w:val="both"/>
        <w:rPr>
          <w:lang w:val="en-GB" w:eastAsia="en-GB"/>
        </w:rPr>
      </w:pPr>
    </w:p>
    <w:p w14:paraId="37B7897A" w14:textId="77777777" w:rsidR="00EB261A" w:rsidRDefault="00EB261A">
      <w:pPr>
        <w:widowControl w:val="0"/>
        <w:autoSpaceDE w:val="0"/>
        <w:autoSpaceDN w:val="0"/>
        <w:adjustRightInd w:val="0"/>
        <w:jc w:val="both"/>
        <w:rPr>
          <w:lang w:val="en-GB" w:eastAsia="en-GB"/>
        </w:rPr>
      </w:pPr>
    </w:p>
    <w:p w14:paraId="37B7897B"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37B7897C" w14:textId="77777777" w:rsidR="00EB261A" w:rsidRDefault="00EB261A">
      <w:pPr>
        <w:widowControl w:val="0"/>
        <w:autoSpaceDE w:val="0"/>
        <w:autoSpaceDN w:val="0"/>
        <w:adjustRightInd w:val="0"/>
        <w:jc w:val="both"/>
        <w:rPr>
          <w:lang w:val="en-GB" w:eastAsia="en-GB"/>
        </w:rPr>
      </w:pPr>
    </w:p>
    <w:p w14:paraId="37B7897D" w14:textId="77777777" w:rsidR="00EB261A" w:rsidRDefault="00EB261A">
      <w:pPr>
        <w:widowControl w:val="0"/>
        <w:autoSpaceDE w:val="0"/>
        <w:autoSpaceDN w:val="0"/>
        <w:adjustRightInd w:val="0"/>
        <w:jc w:val="both"/>
        <w:rPr>
          <w:lang w:val="en-GB" w:eastAsia="en-GB"/>
        </w:rPr>
      </w:pPr>
    </w:p>
    <w:p w14:paraId="37B7897E"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14:paraId="37B7897F" w14:textId="77777777" w:rsidR="00EB261A" w:rsidRDefault="00EB261A">
      <w:pPr>
        <w:widowControl w:val="0"/>
        <w:autoSpaceDE w:val="0"/>
        <w:autoSpaceDN w:val="0"/>
        <w:adjustRightInd w:val="0"/>
        <w:jc w:val="both"/>
        <w:rPr>
          <w:lang w:val="en-GB" w:eastAsia="en-GB"/>
        </w:rPr>
      </w:pPr>
    </w:p>
    <w:p w14:paraId="37B78980" w14:textId="77777777" w:rsidR="00EB261A" w:rsidRDefault="00EB261A">
      <w:pPr>
        <w:widowControl w:val="0"/>
        <w:autoSpaceDE w:val="0"/>
        <w:autoSpaceDN w:val="0"/>
        <w:adjustRightInd w:val="0"/>
        <w:jc w:val="both"/>
        <w:rPr>
          <w:lang w:val="en-GB" w:eastAsia="en-GB"/>
        </w:rPr>
      </w:pPr>
    </w:p>
    <w:p w14:paraId="37B78981"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37B78982" w14:textId="77777777" w:rsidR="00EB261A" w:rsidRDefault="00EB261A">
      <w:pPr>
        <w:widowControl w:val="0"/>
        <w:autoSpaceDE w:val="0"/>
        <w:autoSpaceDN w:val="0"/>
        <w:adjustRightInd w:val="0"/>
        <w:jc w:val="both"/>
        <w:rPr>
          <w:lang w:val="en-GB" w:eastAsia="en-GB"/>
        </w:rPr>
      </w:pPr>
    </w:p>
    <w:p w14:paraId="37B78983" w14:textId="77777777" w:rsidR="00EB261A" w:rsidRDefault="00EB261A">
      <w:pPr>
        <w:widowControl w:val="0"/>
        <w:autoSpaceDE w:val="0"/>
        <w:autoSpaceDN w:val="0"/>
        <w:adjustRightInd w:val="0"/>
        <w:jc w:val="both"/>
        <w:rPr>
          <w:lang w:val="en-GB" w:eastAsia="en-GB"/>
        </w:rPr>
      </w:pPr>
    </w:p>
    <w:p w14:paraId="37B78984"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14:paraId="37B78985" w14:textId="77777777" w:rsidR="00EB261A" w:rsidRDefault="00EB261A">
      <w:pPr>
        <w:widowControl w:val="0"/>
        <w:autoSpaceDE w:val="0"/>
        <w:autoSpaceDN w:val="0"/>
        <w:adjustRightInd w:val="0"/>
        <w:jc w:val="both"/>
        <w:rPr>
          <w:lang w:val="en-GB" w:eastAsia="en-GB"/>
        </w:rPr>
      </w:pPr>
    </w:p>
    <w:p w14:paraId="37B78986" w14:textId="77777777" w:rsidR="00EB261A" w:rsidRDefault="00EB261A">
      <w:pPr>
        <w:widowControl w:val="0"/>
        <w:autoSpaceDE w:val="0"/>
        <w:autoSpaceDN w:val="0"/>
        <w:adjustRightInd w:val="0"/>
        <w:jc w:val="both"/>
        <w:rPr>
          <w:lang w:val="en-GB" w:eastAsia="en-GB"/>
        </w:rPr>
      </w:pPr>
    </w:p>
    <w:p w14:paraId="37B78987"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37B78988" w14:textId="77777777" w:rsidR="00EB261A" w:rsidRDefault="00EB261A">
      <w:pPr>
        <w:widowControl w:val="0"/>
        <w:autoSpaceDE w:val="0"/>
        <w:autoSpaceDN w:val="0"/>
        <w:adjustRightInd w:val="0"/>
        <w:jc w:val="both"/>
        <w:rPr>
          <w:lang w:val="en-GB" w:eastAsia="en-GB"/>
        </w:rPr>
      </w:pPr>
    </w:p>
    <w:p w14:paraId="37B78989" w14:textId="77777777" w:rsidR="00EB261A" w:rsidRDefault="00EB261A">
      <w:pPr>
        <w:widowControl w:val="0"/>
        <w:autoSpaceDE w:val="0"/>
        <w:autoSpaceDN w:val="0"/>
        <w:adjustRightInd w:val="0"/>
        <w:jc w:val="both"/>
        <w:rPr>
          <w:lang w:val="en-GB" w:eastAsia="en-GB"/>
        </w:rPr>
      </w:pPr>
    </w:p>
    <w:p w14:paraId="37B7898A"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14:paraId="37B7898B" w14:textId="77777777" w:rsidR="00EB261A" w:rsidRDefault="00EB261A">
      <w:pPr>
        <w:widowControl w:val="0"/>
        <w:autoSpaceDE w:val="0"/>
        <w:autoSpaceDN w:val="0"/>
        <w:adjustRightInd w:val="0"/>
        <w:jc w:val="both"/>
        <w:rPr>
          <w:lang w:val="en-GB" w:eastAsia="en-GB"/>
        </w:rPr>
      </w:pPr>
    </w:p>
    <w:p w14:paraId="37B7898C" w14:textId="77777777" w:rsidR="00EB261A" w:rsidRDefault="00EB261A">
      <w:pPr>
        <w:widowControl w:val="0"/>
        <w:autoSpaceDE w:val="0"/>
        <w:autoSpaceDN w:val="0"/>
        <w:adjustRightInd w:val="0"/>
        <w:jc w:val="both"/>
        <w:rPr>
          <w:lang w:val="en-GB" w:eastAsia="en-GB"/>
        </w:rPr>
      </w:pPr>
    </w:p>
    <w:p w14:paraId="37B7898D"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37B7898E" w14:textId="77777777" w:rsidR="00EB261A" w:rsidRDefault="00EB261A">
      <w:pPr>
        <w:widowControl w:val="0"/>
        <w:autoSpaceDE w:val="0"/>
        <w:autoSpaceDN w:val="0"/>
        <w:adjustRightInd w:val="0"/>
        <w:jc w:val="both"/>
        <w:rPr>
          <w:lang w:val="en-GB" w:eastAsia="en-GB"/>
        </w:rPr>
      </w:pPr>
    </w:p>
    <w:p w14:paraId="37B7898F" w14:textId="77777777" w:rsidR="00EB261A" w:rsidRDefault="00EB261A">
      <w:pPr>
        <w:widowControl w:val="0"/>
        <w:autoSpaceDE w:val="0"/>
        <w:autoSpaceDN w:val="0"/>
        <w:adjustRightInd w:val="0"/>
        <w:jc w:val="both"/>
        <w:rPr>
          <w:lang w:val="en-GB" w:eastAsia="en-GB"/>
        </w:rPr>
      </w:pPr>
    </w:p>
    <w:p w14:paraId="37B78990"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14:paraId="37B78991" w14:textId="77777777" w:rsidR="00EB261A" w:rsidRDefault="00EB261A">
      <w:pPr>
        <w:widowControl w:val="0"/>
        <w:autoSpaceDE w:val="0"/>
        <w:autoSpaceDN w:val="0"/>
        <w:adjustRightInd w:val="0"/>
        <w:jc w:val="both"/>
        <w:rPr>
          <w:lang w:val="en-GB" w:eastAsia="en-GB"/>
        </w:rPr>
      </w:pPr>
    </w:p>
    <w:p w14:paraId="37B78992" w14:textId="77777777" w:rsidR="00EB261A" w:rsidRDefault="00EB261A">
      <w:pPr>
        <w:widowControl w:val="0"/>
        <w:autoSpaceDE w:val="0"/>
        <w:autoSpaceDN w:val="0"/>
        <w:adjustRightInd w:val="0"/>
        <w:jc w:val="both"/>
        <w:rPr>
          <w:lang w:val="en-GB" w:eastAsia="en-GB"/>
        </w:rPr>
      </w:pPr>
    </w:p>
    <w:p w14:paraId="37B78993"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37B78994" w14:textId="77777777" w:rsidR="00EB261A" w:rsidRDefault="00EB261A">
      <w:pPr>
        <w:widowControl w:val="0"/>
        <w:autoSpaceDE w:val="0"/>
        <w:autoSpaceDN w:val="0"/>
        <w:adjustRightInd w:val="0"/>
        <w:jc w:val="both"/>
        <w:rPr>
          <w:lang w:val="en-GB" w:eastAsia="en-GB"/>
        </w:rPr>
      </w:pPr>
    </w:p>
    <w:p w14:paraId="37B78995" w14:textId="77777777" w:rsidR="00EB261A" w:rsidRDefault="00EB261A">
      <w:pPr>
        <w:widowControl w:val="0"/>
        <w:autoSpaceDE w:val="0"/>
        <w:autoSpaceDN w:val="0"/>
        <w:adjustRightInd w:val="0"/>
        <w:jc w:val="both"/>
        <w:rPr>
          <w:lang w:val="en-GB" w:eastAsia="en-GB"/>
        </w:rPr>
      </w:pPr>
    </w:p>
    <w:p w14:paraId="37B78996"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14:paraId="37B78997" w14:textId="77777777" w:rsidR="00EB261A" w:rsidRDefault="00EB261A">
      <w:pPr>
        <w:widowControl w:val="0"/>
        <w:autoSpaceDE w:val="0"/>
        <w:autoSpaceDN w:val="0"/>
        <w:adjustRightInd w:val="0"/>
        <w:jc w:val="both"/>
        <w:rPr>
          <w:lang w:val="en-GB" w:eastAsia="en-GB"/>
        </w:rPr>
      </w:pPr>
    </w:p>
    <w:p w14:paraId="37B78998" w14:textId="77777777" w:rsidR="00EB261A" w:rsidRDefault="00EB261A">
      <w:pPr>
        <w:widowControl w:val="0"/>
        <w:autoSpaceDE w:val="0"/>
        <w:autoSpaceDN w:val="0"/>
        <w:adjustRightInd w:val="0"/>
        <w:jc w:val="both"/>
        <w:rPr>
          <w:lang w:val="en-GB" w:eastAsia="en-GB"/>
        </w:rPr>
      </w:pPr>
    </w:p>
    <w:p w14:paraId="37B7899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37B7899A" w14:textId="77777777" w:rsidR="00EB261A" w:rsidRDefault="00EB261A">
      <w:pPr>
        <w:widowControl w:val="0"/>
        <w:autoSpaceDE w:val="0"/>
        <w:autoSpaceDN w:val="0"/>
        <w:adjustRightInd w:val="0"/>
        <w:jc w:val="both"/>
        <w:rPr>
          <w:lang w:val="en-GB" w:eastAsia="en-GB"/>
        </w:rPr>
      </w:pPr>
    </w:p>
    <w:p w14:paraId="37B7899B" w14:textId="77777777" w:rsidR="00EB261A" w:rsidRDefault="00EB261A">
      <w:pPr>
        <w:widowControl w:val="0"/>
        <w:autoSpaceDE w:val="0"/>
        <w:autoSpaceDN w:val="0"/>
        <w:adjustRightInd w:val="0"/>
        <w:jc w:val="both"/>
        <w:rPr>
          <w:lang w:val="en-GB" w:eastAsia="en-GB"/>
        </w:rPr>
      </w:pPr>
    </w:p>
    <w:p w14:paraId="37B7899C" w14:textId="77777777" w:rsidR="00EB261A" w:rsidRDefault="005200B9">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14.7. Transport in bulk according to Annex II of Marpol and the IBC Code</w:t>
      </w:r>
    </w:p>
    <w:p w14:paraId="37B7899D" w14:textId="77777777" w:rsidR="00EB261A" w:rsidRDefault="00EB261A">
      <w:pPr>
        <w:widowControl w:val="0"/>
        <w:autoSpaceDE w:val="0"/>
        <w:autoSpaceDN w:val="0"/>
        <w:adjustRightInd w:val="0"/>
        <w:jc w:val="both"/>
        <w:rPr>
          <w:lang w:val="en-GB" w:eastAsia="en-GB"/>
        </w:rPr>
      </w:pPr>
    </w:p>
    <w:p w14:paraId="37B7899E" w14:textId="77777777" w:rsidR="00EB261A" w:rsidRDefault="00EB261A">
      <w:pPr>
        <w:widowControl w:val="0"/>
        <w:autoSpaceDE w:val="0"/>
        <w:autoSpaceDN w:val="0"/>
        <w:adjustRightInd w:val="0"/>
        <w:jc w:val="both"/>
        <w:rPr>
          <w:lang w:val="en-GB" w:eastAsia="en-GB"/>
        </w:rPr>
      </w:pPr>
    </w:p>
    <w:p w14:paraId="37B7899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37B789A0"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9A2" w14:textId="77777777">
        <w:tc>
          <w:tcPr>
            <w:tcW w:w="10773" w:type="dxa"/>
            <w:shd w:val="clear" w:color="auto" w:fill="A8FFFF"/>
          </w:tcPr>
          <w:p w14:paraId="37B789A1"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14:paraId="37B789A3"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9A5" w14:textId="77777777">
        <w:tc>
          <w:tcPr>
            <w:tcW w:w="10773" w:type="dxa"/>
            <w:shd w:val="clear" w:color="auto" w:fill="FFFFFF"/>
          </w:tcPr>
          <w:p w14:paraId="37B789A4"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15.1. Safety, health and environmental regulations/legislation specific for the substance or mixture</w:t>
            </w:r>
          </w:p>
        </w:tc>
      </w:tr>
    </w:tbl>
    <w:p w14:paraId="37B789A6" w14:textId="77777777" w:rsidR="00EB261A" w:rsidRDefault="00EB261A">
      <w:pPr>
        <w:widowControl w:val="0"/>
        <w:autoSpaceDE w:val="0"/>
        <w:autoSpaceDN w:val="0"/>
        <w:adjustRightInd w:val="0"/>
        <w:jc w:val="both"/>
        <w:rPr>
          <w:lang w:val="en-GB" w:eastAsia="en-GB"/>
        </w:rPr>
      </w:pPr>
    </w:p>
    <w:p w14:paraId="37B789A7"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None</w:t>
      </w:r>
    </w:p>
    <w:p w14:paraId="37B789A8" w14:textId="77777777" w:rsidR="00EB261A" w:rsidRDefault="00EB261A">
      <w:pPr>
        <w:widowControl w:val="0"/>
        <w:autoSpaceDE w:val="0"/>
        <w:autoSpaceDN w:val="0"/>
        <w:adjustRightInd w:val="0"/>
        <w:jc w:val="both"/>
        <w:rPr>
          <w:lang w:val="en-GB" w:eastAsia="en-GB"/>
        </w:rPr>
      </w:pPr>
    </w:p>
    <w:p w14:paraId="37B789A9" w14:textId="77777777" w:rsidR="00EB261A" w:rsidRDefault="005200B9">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14:paraId="37B789AA" w14:textId="77777777" w:rsidR="00EB261A" w:rsidRDefault="00EB261A">
      <w:pPr>
        <w:widowControl w:val="0"/>
        <w:autoSpaceDE w:val="0"/>
        <w:autoSpaceDN w:val="0"/>
        <w:adjustRightInd w:val="0"/>
        <w:jc w:val="both"/>
        <w:rPr>
          <w:lang w:val="en-GB" w:eastAsia="en-GB"/>
        </w:rPr>
      </w:pPr>
    </w:p>
    <w:p w14:paraId="37B789AB"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37B789AC" w14:textId="77777777" w:rsidR="00EB261A" w:rsidRDefault="00EB261A">
      <w:pPr>
        <w:widowControl w:val="0"/>
        <w:autoSpaceDE w:val="0"/>
        <w:autoSpaceDN w:val="0"/>
        <w:adjustRightInd w:val="0"/>
        <w:jc w:val="both"/>
        <w:rPr>
          <w:lang w:val="en-GB" w:eastAsia="en-GB"/>
        </w:rPr>
      </w:pPr>
    </w:p>
    <w:p w14:paraId="37B789AD" w14:textId="77777777" w:rsidR="00EB261A" w:rsidRDefault="005200B9">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14:paraId="37B789AE" w14:textId="77777777" w:rsidR="00EB261A" w:rsidRDefault="00EB261A">
      <w:pPr>
        <w:widowControl w:val="0"/>
        <w:autoSpaceDE w:val="0"/>
        <w:autoSpaceDN w:val="0"/>
        <w:adjustRightInd w:val="0"/>
        <w:jc w:val="both"/>
        <w:rPr>
          <w:lang w:val="en-GB" w:eastAsia="en-GB"/>
        </w:rPr>
      </w:pPr>
    </w:p>
    <w:p w14:paraId="37B789A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SVHC in percentage greater than 0,1%.</w:t>
      </w:r>
    </w:p>
    <w:p w14:paraId="37B789B0" w14:textId="77777777" w:rsidR="00EB261A" w:rsidRDefault="00EB261A">
      <w:pPr>
        <w:widowControl w:val="0"/>
        <w:autoSpaceDE w:val="0"/>
        <w:autoSpaceDN w:val="0"/>
        <w:adjustRightInd w:val="0"/>
        <w:jc w:val="both"/>
        <w:rPr>
          <w:lang w:val="en-GB" w:eastAsia="en-GB"/>
        </w:rPr>
      </w:pPr>
    </w:p>
    <w:p w14:paraId="37B789B1" w14:textId="77777777" w:rsidR="00EB261A" w:rsidRDefault="005200B9">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authorisarion (Annex XIV REACH)</w:t>
      </w:r>
    </w:p>
    <w:p w14:paraId="37B789B2" w14:textId="77777777" w:rsidR="00EB261A" w:rsidRDefault="00EB261A">
      <w:pPr>
        <w:widowControl w:val="0"/>
        <w:autoSpaceDE w:val="0"/>
        <w:autoSpaceDN w:val="0"/>
        <w:adjustRightInd w:val="0"/>
        <w:jc w:val="both"/>
        <w:rPr>
          <w:lang w:val="en-GB" w:eastAsia="en-GB"/>
        </w:rPr>
      </w:pPr>
    </w:p>
    <w:p w14:paraId="37B789B3"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37B789B4" w14:textId="77777777" w:rsidR="00EB261A" w:rsidRDefault="00EB261A">
      <w:pPr>
        <w:widowControl w:val="0"/>
        <w:autoSpaceDE w:val="0"/>
        <w:autoSpaceDN w:val="0"/>
        <w:adjustRightInd w:val="0"/>
        <w:jc w:val="both"/>
        <w:rPr>
          <w:lang w:val="en-GB" w:eastAsia="en-GB"/>
        </w:rPr>
      </w:pPr>
    </w:p>
    <w:p w14:paraId="37B789B5" w14:textId="77777777" w:rsidR="00EB261A" w:rsidRDefault="005200B9">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14:paraId="37B789B6" w14:textId="77777777" w:rsidR="00EB261A" w:rsidRDefault="00EB261A">
      <w:pPr>
        <w:widowControl w:val="0"/>
        <w:autoSpaceDE w:val="0"/>
        <w:autoSpaceDN w:val="0"/>
        <w:adjustRightInd w:val="0"/>
        <w:jc w:val="both"/>
        <w:rPr>
          <w:lang w:val="en-GB" w:eastAsia="en-GB"/>
        </w:rPr>
      </w:pPr>
    </w:p>
    <w:p w14:paraId="37B789B7"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37B789B8" w14:textId="77777777" w:rsidR="00EB261A" w:rsidRDefault="00EB261A">
      <w:pPr>
        <w:widowControl w:val="0"/>
        <w:autoSpaceDE w:val="0"/>
        <w:autoSpaceDN w:val="0"/>
        <w:adjustRightInd w:val="0"/>
        <w:jc w:val="both"/>
        <w:rPr>
          <w:lang w:val="en-GB" w:eastAsia="en-GB"/>
        </w:rPr>
      </w:pPr>
    </w:p>
    <w:p w14:paraId="37B789B9" w14:textId="77777777" w:rsidR="00EB261A" w:rsidRDefault="005200B9">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14:paraId="37B789BA" w14:textId="77777777" w:rsidR="00EB261A" w:rsidRDefault="00EB261A">
      <w:pPr>
        <w:widowControl w:val="0"/>
        <w:autoSpaceDE w:val="0"/>
        <w:autoSpaceDN w:val="0"/>
        <w:adjustRightInd w:val="0"/>
        <w:jc w:val="both"/>
        <w:rPr>
          <w:lang w:val="en-GB" w:eastAsia="en-GB"/>
        </w:rPr>
      </w:pPr>
    </w:p>
    <w:p w14:paraId="37B789BB"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37B789BC" w14:textId="77777777" w:rsidR="00EB261A" w:rsidRDefault="00EB261A">
      <w:pPr>
        <w:widowControl w:val="0"/>
        <w:autoSpaceDE w:val="0"/>
        <w:autoSpaceDN w:val="0"/>
        <w:adjustRightInd w:val="0"/>
        <w:jc w:val="both"/>
        <w:rPr>
          <w:lang w:val="en-GB" w:eastAsia="en-GB"/>
        </w:rPr>
      </w:pPr>
    </w:p>
    <w:p w14:paraId="37B789BD" w14:textId="77777777" w:rsidR="00EB261A" w:rsidRDefault="005200B9">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14:paraId="37B789BE" w14:textId="77777777" w:rsidR="00EB261A" w:rsidRDefault="00EB261A">
      <w:pPr>
        <w:widowControl w:val="0"/>
        <w:autoSpaceDE w:val="0"/>
        <w:autoSpaceDN w:val="0"/>
        <w:adjustRightInd w:val="0"/>
        <w:jc w:val="both"/>
        <w:rPr>
          <w:lang w:val="en-GB" w:eastAsia="en-GB"/>
        </w:rPr>
      </w:pPr>
    </w:p>
    <w:p w14:paraId="37B789B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37B789C0" w14:textId="77777777" w:rsidR="00EB261A" w:rsidRDefault="00EB261A">
      <w:pPr>
        <w:widowControl w:val="0"/>
        <w:autoSpaceDE w:val="0"/>
        <w:autoSpaceDN w:val="0"/>
        <w:adjustRightInd w:val="0"/>
        <w:jc w:val="both"/>
        <w:rPr>
          <w:lang w:val="en-GB" w:eastAsia="en-GB"/>
        </w:rPr>
      </w:pPr>
    </w:p>
    <w:p w14:paraId="37B789C1" w14:textId="77777777" w:rsidR="00EB261A" w:rsidRDefault="005200B9">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14:paraId="37B789C2" w14:textId="77777777" w:rsidR="00EB261A" w:rsidRDefault="00EB261A">
      <w:pPr>
        <w:widowControl w:val="0"/>
        <w:autoSpaceDE w:val="0"/>
        <w:autoSpaceDN w:val="0"/>
        <w:adjustRightInd w:val="0"/>
        <w:jc w:val="both"/>
        <w:rPr>
          <w:lang w:val="en-GB" w:eastAsia="en-GB"/>
        </w:rPr>
      </w:pPr>
    </w:p>
    <w:p w14:paraId="37B789C3"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37B789C4" w14:textId="77777777" w:rsidR="00EB261A" w:rsidRDefault="00EB261A">
      <w:pPr>
        <w:widowControl w:val="0"/>
        <w:autoSpaceDE w:val="0"/>
        <w:autoSpaceDN w:val="0"/>
        <w:adjustRightInd w:val="0"/>
        <w:jc w:val="both"/>
        <w:rPr>
          <w:lang w:val="en-GB" w:eastAsia="en-GB"/>
        </w:rPr>
      </w:pPr>
    </w:p>
    <w:p w14:paraId="37B789C5"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9C7" w14:textId="77777777">
        <w:tc>
          <w:tcPr>
            <w:tcW w:w="10773" w:type="dxa"/>
            <w:shd w:val="clear" w:color="auto" w:fill="FFFFFF"/>
          </w:tcPr>
          <w:p w14:paraId="37B789C6"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14:paraId="37B789C8" w14:textId="77777777" w:rsidR="00EB261A" w:rsidRDefault="00EB261A">
      <w:pPr>
        <w:widowControl w:val="0"/>
        <w:autoSpaceDE w:val="0"/>
        <w:autoSpaceDN w:val="0"/>
        <w:adjustRightInd w:val="0"/>
        <w:jc w:val="both"/>
        <w:rPr>
          <w:lang w:val="en-GB" w:eastAsia="en-GB"/>
        </w:rPr>
      </w:pPr>
    </w:p>
    <w:p w14:paraId="37B789C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14:paraId="37B789CA" w14:textId="77777777" w:rsidR="00EB261A" w:rsidRDefault="00EB261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261A" w14:paraId="37B789CC" w14:textId="77777777">
        <w:tc>
          <w:tcPr>
            <w:tcW w:w="10773" w:type="dxa"/>
            <w:shd w:val="clear" w:color="auto" w:fill="A8FFFF"/>
          </w:tcPr>
          <w:p w14:paraId="37B789CB" w14:textId="77777777" w:rsidR="00EB261A" w:rsidRDefault="005200B9">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14:paraId="37B789CD"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14:paraId="37B789CE"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14:paraId="37B789C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14:paraId="37B789D0"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14:paraId="37B789D1"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14:paraId="37B789D2"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14:paraId="37B789D3"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DNEL: Derived No Effect Level</w:t>
      </w:r>
    </w:p>
    <w:p w14:paraId="37B789D4"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EmS: Emergency Schedule</w:t>
      </w:r>
    </w:p>
    <w:p w14:paraId="37B789D5"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GHS: Globally Harmonized System of classification and labeling of chemicals</w:t>
      </w:r>
    </w:p>
    <w:p w14:paraId="37B789D6"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International Air Transport Association Dangerous Goods Regulation</w:t>
      </w:r>
    </w:p>
    <w:p w14:paraId="37B789D7"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14:paraId="37B789D8"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14:paraId="37B789D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14:paraId="37B789DA"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14:paraId="37B789DB"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LC50: Lethal Concentration 50%</w:t>
      </w:r>
    </w:p>
    <w:p w14:paraId="37B789DC"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14:paraId="37B789DD"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14:paraId="37B789DE"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bioaccumulative and toxic as REACH Regulation </w:t>
      </w:r>
    </w:p>
    <w:p w14:paraId="37B789D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14:paraId="37B789E0"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14:paraId="37B789E1"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 concentration</w:t>
      </w:r>
    </w:p>
    <w:p w14:paraId="37B789E2"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14:paraId="37B789E3"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14:paraId="37B789E4"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14:paraId="37B789E5"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exposure.</w:t>
      </w:r>
    </w:p>
    <w:p w14:paraId="37B789E6"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14:paraId="37B789E7"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14:paraId="37B789E8"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14:paraId="37B789E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vPvB: Very Persistent and very Bioaccumulative as for REACH Regulation</w:t>
      </w:r>
    </w:p>
    <w:p w14:paraId="37B789EA"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14:paraId="37B789EB" w14:textId="77777777" w:rsidR="00EB261A" w:rsidRDefault="00EB261A">
      <w:pPr>
        <w:widowControl w:val="0"/>
        <w:autoSpaceDE w:val="0"/>
        <w:autoSpaceDN w:val="0"/>
        <w:adjustRightInd w:val="0"/>
        <w:jc w:val="both"/>
        <w:rPr>
          <w:lang w:val="en-GB" w:eastAsia="en-GB"/>
        </w:rPr>
      </w:pPr>
    </w:p>
    <w:p w14:paraId="37B789EC" w14:textId="77777777" w:rsidR="00EB261A" w:rsidRDefault="00EB261A">
      <w:pPr>
        <w:widowControl w:val="0"/>
        <w:autoSpaceDE w:val="0"/>
        <w:autoSpaceDN w:val="0"/>
        <w:adjustRightInd w:val="0"/>
        <w:jc w:val="both"/>
        <w:rPr>
          <w:lang w:val="en-GB" w:eastAsia="en-GB"/>
        </w:rPr>
      </w:pPr>
    </w:p>
    <w:p w14:paraId="37B789ED"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14:paraId="37B789EE"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14:paraId="37B789E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14:paraId="37B789F0"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3. Regulation (EU) 790/2009 (I Atp. CLP) of the European Parliament</w:t>
      </w:r>
    </w:p>
    <w:p w14:paraId="37B789F1"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14:paraId="37B789F2"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5. Regulation (EU) 286/2011 (II Atp. CLP) of the European Parliament</w:t>
      </w:r>
    </w:p>
    <w:p w14:paraId="37B789F3"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6. Regulation (EU) 618/2012 (III Atp. CLP) of the European Parliament</w:t>
      </w:r>
    </w:p>
    <w:p w14:paraId="37B789F4"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7. Regulation (EU) 487/2013 (IV Atp. CLP) of the European Parliament</w:t>
      </w:r>
    </w:p>
    <w:p w14:paraId="37B789F5"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8. Regulation (EU) 944/2013 (V Atp. CLP) of the European Parliament</w:t>
      </w:r>
    </w:p>
    <w:p w14:paraId="37B789F6"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9. Regulation (EU) 605/2014 (VI Atp. CLP) of the European Parliament</w:t>
      </w:r>
    </w:p>
    <w:p w14:paraId="37B789F7"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10. Regulation (EU) 2015/1221 (VII Atp. CLP) of the European Parliament</w:t>
      </w:r>
    </w:p>
    <w:p w14:paraId="37B789F8"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11. Regulation (EU) 2016/918 (VIII Atp. CLP) of the European Parliament</w:t>
      </w:r>
    </w:p>
    <w:p w14:paraId="37B789F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 Regulation (EU) 2016/1179 (IX Atp. CLP)</w:t>
      </w:r>
    </w:p>
    <w:p w14:paraId="37B789FA"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Regulation (EU) 2017/776 (X Atp. CLP)</w:t>
      </w:r>
    </w:p>
    <w:p w14:paraId="37B789FB"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14:paraId="37B789FC"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14:paraId="37B789FD"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INRS - Fiche Toxicologique (toxicological sheet)</w:t>
      </w:r>
    </w:p>
    <w:p w14:paraId="37B789FE"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14:paraId="37B789FF"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14:paraId="37B78A00"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14:paraId="37B78A01"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14:paraId="37B78A02"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(Istituto Superiore di Sanità) - Italy</w:t>
      </w:r>
    </w:p>
    <w:p w14:paraId="37B78A03"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14:paraId="37B78A04"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information contained in the present sheet are based on our own knowledge on the date of the last version. Users must verify the suitability and thoroughness of provided information according to each specific use of the product.</w:t>
      </w:r>
    </w:p>
    <w:p w14:paraId="37B78A05"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14:paraId="37B78A06"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regulations. The producer is relieved from any liability arising from improper uses.</w:t>
      </w:r>
    </w:p>
    <w:p w14:paraId="37B78A07"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appointed staff with adequate training on how to use chemical products.</w:t>
      </w:r>
    </w:p>
    <w:p w14:paraId="37B78A08" w14:textId="77777777" w:rsidR="00EB261A" w:rsidRDefault="00EB261A">
      <w:pPr>
        <w:widowControl w:val="0"/>
        <w:autoSpaceDE w:val="0"/>
        <w:autoSpaceDN w:val="0"/>
        <w:adjustRightInd w:val="0"/>
        <w:jc w:val="both"/>
        <w:rPr>
          <w:lang w:val="en-GB" w:eastAsia="en-GB"/>
        </w:rPr>
      </w:pPr>
    </w:p>
    <w:p w14:paraId="37B78A09"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14:paraId="37B78A0A"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14:paraId="37B78A0B" w14:textId="77777777" w:rsidR="00EB261A" w:rsidRDefault="005200B9">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03 / 04 / 05 / 09 / 11.</w:t>
      </w:r>
    </w:p>
    <w:sectPr w:rsidR="00EB261A">
      <w:headerReference w:type="default" r:id="rId9"/>
      <w:footerReference w:type="default" r:id="rId10"/>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78A0E" w14:textId="77777777" w:rsidR="00EB261A" w:rsidRDefault="005200B9">
      <w:r>
        <w:separator/>
      </w:r>
    </w:p>
  </w:endnote>
  <w:endnote w:type="continuationSeparator" w:id="0">
    <w:p w14:paraId="37B78A0F" w14:textId="77777777" w:rsidR="00EB261A" w:rsidRDefault="0052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78A1D" w14:textId="77777777" w:rsidR="00EB261A" w:rsidRDefault="005200B9">
    <w:r>
      <w:rPr>
        <w:noProof/>
      </w:rPr>
      <mc:AlternateContent>
        <mc:Choice Requires="wps">
          <w:drawing>
            <wp:anchor distT="0" distB="0" distL="114300" distR="114300" simplePos="0" relativeHeight="251662336" behindDoc="0" locked="0" layoutInCell="0" allowOverlap="1" wp14:anchorId="37B78A22" wp14:editId="37B78A23">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E19A2"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78A0C" w14:textId="77777777" w:rsidR="00EB261A" w:rsidRDefault="005200B9">
      <w:r>
        <w:separator/>
      </w:r>
    </w:p>
  </w:footnote>
  <w:footnote w:type="continuationSeparator" w:id="0">
    <w:p w14:paraId="37B78A0D" w14:textId="77777777" w:rsidR="00EB261A" w:rsidRDefault="00520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EB261A" w14:paraId="37B78A12" w14:textId="77777777">
      <w:tc>
        <w:tcPr>
          <w:tcW w:w="8278" w:type="dxa"/>
          <w:tcBorders>
            <w:top w:val="single" w:sz="6" w:space="0" w:color="auto"/>
            <w:left w:val="single" w:sz="6" w:space="0" w:color="auto"/>
          </w:tcBorders>
          <w:shd w:val="clear" w:color="auto" w:fill="FFFFFF"/>
        </w:tcPr>
        <w:p w14:paraId="37B78A10" w14:textId="77777777" w:rsidR="00EB261A" w:rsidRDefault="005200B9">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S.R.L</w:t>
          </w:r>
        </w:p>
      </w:tc>
      <w:tc>
        <w:tcPr>
          <w:tcW w:w="2721" w:type="dxa"/>
          <w:tcBorders>
            <w:top w:val="single" w:sz="6" w:space="0" w:color="auto"/>
            <w:left w:val="single" w:sz="6" w:space="0" w:color="auto"/>
            <w:right w:val="single" w:sz="6" w:space="0" w:color="auto"/>
          </w:tcBorders>
          <w:shd w:val="clear" w:color="auto" w:fill="FFFFFF"/>
        </w:tcPr>
        <w:p w14:paraId="37B78A11" w14:textId="77777777" w:rsidR="00EB261A" w:rsidRDefault="005200B9">
          <w:pPr>
            <w:autoSpaceDE w:val="0"/>
            <w:autoSpaceDN w:val="0"/>
            <w:adjustRightInd w:val="0"/>
            <w:rPr>
              <w:lang w:val="en-GB" w:eastAsia="en-GB"/>
            </w:rPr>
          </w:pPr>
          <w:r>
            <w:rPr>
              <w:rFonts w:ascii="Arial" w:hAnsi="Arial" w:cs="Arial"/>
              <w:color w:val="000000"/>
              <w:sz w:val="12"/>
              <w:szCs w:val="12"/>
              <w:lang w:val="en-GB" w:eastAsia="en-GB"/>
            </w:rPr>
            <w:t>Revision nr. 3</w:t>
          </w:r>
        </w:p>
      </w:tc>
    </w:tr>
    <w:tr w:rsidR="00EB261A" w14:paraId="37B78A15" w14:textId="77777777">
      <w:tc>
        <w:tcPr>
          <w:tcW w:w="8278" w:type="dxa"/>
          <w:tcBorders>
            <w:left w:val="single" w:sz="6" w:space="0" w:color="auto"/>
          </w:tcBorders>
          <w:shd w:val="clear" w:color="auto" w:fill="FFFFFF"/>
        </w:tcPr>
        <w:p w14:paraId="37B78A13" w14:textId="77777777" w:rsidR="00EB261A" w:rsidRDefault="005200B9">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14:paraId="37B78A14" w14:textId="77777777" w:rsidR="00EB261A" w:rsidRDefault="005200B9">
          <w:pPr>
            <w:autoSpaceDE w:val="0"/>
            <w:autoSpaceDN w:val="0"/>
            <w:adjustRightInd w:val="0"/>
            <w:rPr>
              <w:lang w:val="en-GB" w:eastAsia="en-GB"/>
            </w:rPr>
          </w:pPr>
          <w:r>
            <w:rPr>
              <w:rFonts w:ascii="Arial" w:hAnsi="Arial" w:cs="Arial"/>
              <w:color w:val="000000"/>
              <w:sz w:val="12"/>
              <w:szCs w:val="12"/>
              <w:lang w:val="en-GB" w:eastAsia="en-GB"/>
            </w:rPr>
            <w:t>Dated 30/01/2018</w:t>
          </w:r>
        </w:p>
      </w:tc>
    </w:tr>
    <w:tr w:rsidR="00EB261A" w14:paraId="37B78A18" w14:textId="77777777">
      <w:tc>
        <w:tcPr>
          <w:tcW w:w="8278" w:type="dxa"/>
          <w:tcBorders>
            <w:top w:val="single" w:sz="6" w:space="0" w:color="auto"/>
            <w:left w:val="single" w:sz="6" w:space="0" w:color="auto"/>
          </w:tcBorders>
          <w:shd w:val="clear" w:color="auto" w:fill="FFFFFF"/>
        </w:tcPr>
        <w:p w14:paraId="37B78A16" w14:textId="77777777" w:rsidR="00EB261A" w:rsidRDefault="005200B9">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TEXPRINT COLORANTE ROSSO 45</w:t>
          </w:r>
        </w:p>
      </w:tc>
      <w:tc>
        <w:tcPr>
          <w:tcW w:w="2721" w:type="dxa"/>
          <w:tcBorders>
            <w:left w:val="single" w:sz="6" w:space="0" w:color="auto"/>
            <w:right w:val="single" w:sz="6" w:space="0" w:color="auto"/>
          </w:tcBorders>
          <w:shd w:val="clear" w:color="auto" w:fill="FFFFFF"/>
        </w:tcPr>
        <w:p w14:paraId="37B78A17" w14:textId="77777777" w:rsidR="00EB261A" w:rsidRDefault="005200B9">
          <w:pPr>
            <w:autoSpaceDE w:val="0"/>
            <w:autoSpaceDN w:val="0"/>
            <w:adjustRightInd w:val="0"/>
            <w:rPr>
              <w:lang w:val="en-GB" w:eastAsia="en-GB"/>
            </w:rPr>
          </w:pPr>
          <w:r>
            <w:rPr>
              <w:rFonts w:ascii="Arial" w:hAnsi="Arial" w:cs="Arial"/>
              <w:color w:val="000000"/>
              <w:sz w:val="12"/>
              <w:szCs w:val="12"/>
              <w:lang w:val="en-GB" w:eastAsia="en-GB"/>
            </w:rPr>
            <w:t>Printed on 04/04/2018</w:t>
          </w:r>
        </w:p>
      </w:tc>
    </w:tr>
    <w:tr w:rsidR="00EB261A" w14:paraId="37B78A1B" w14:textId="77777777">
      <w:tc>
        <w:tcPr>
          <w:tcW w:w="8278" w:type="dxa"/>
          <w:tcBorders>
            <w:left w:val="single" w:sz="6" w:space="0" w:color="auto"/>
            <w:bottom w:val="single" w:sz="6" w:space="0" w:color="auto"/>
          </w:tcBorders>
          <w:shd w:val="clear" w:color="auto" w:fill="FFFFFF"/>
        </w:tcPr>
        <w:p w14:paraId="37B78A19" w14:textId="77777777" w:rsidR="00EB261A" w:rsidRDefault="005200B9">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14:paraId="37B78A1A" w14:textId="77777777" w:rsidR="00EB261A" w:rsidRDefault="005200B9">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14:paraId="37B78A1C" w14:textId="77777777" w:rsidR="00EB261A" w:rsidRDefault="005200B9">
    <w:r>
      <w:rPr>
        <w:noProof/>
      </w:rPr>
      <mc:AlternateContent>
        <mc:Choice Requires="wps">
          <w:drawing>
            <wp:anchor distT="0" distB="0" distL="114300" distR="114300" simplePos="0" relativeHeight="251659264" behindDoc="0" locked="0" layoutInCell="0" allowOverlap="1" wp14:anchorId="37B78A1E" wp14:editId="37B78A1F">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C545E"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37B78A20" wp14:editId="37B78A21">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22E77"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B9"/>
    <w:rsid w:val="00171DD7"/>
    <w:rsid w:val="001D70BA"/>
    <w:rsid w:val="002000E3"/>
    <w:rsid w:val="002B4F1F"/>
    <w:rsid w:val="0039723C"/>
    <w:rsid w:val="005200B9"/>
    <w:rsid w:val="007F2EBE"/>
    <w:rsid w:val="00884218"/>
    <w:rsid w:val="008D6CBD"/>
    <w:rsid w:val="00B36F51"/>
    <w:rsid w:val="00C164B5"/>
    <w:rsid w:val="00C17118"/>
    <w:rsid w:val="00D229B5"/>
    <w:rsid w:val="00EB2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B787B7"/>
  <w14:defaultImageDpi w14:val="0"/>
  <w15:docId w15:val="{595334E3-D1EA-4BEB-B52D-135800F4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12BBFE7014C418A8B2257D6F44F10" ma:contentTypeVersion="15" ma:contentTypeDescription="Create a new document." ma:contentTypeScope="" ma:versionID="c389c66b31097c1aed21b7186789d02b">
  <xsd:schema xmlns:xsd="http://www.w3.org/2001/XMLSchema" xmlns:xs="http://www.w3.org/2001/XMLSchema" xmlns:p="http://schemas.microsoft.com/office/2006/metadata/properties" xmlns:ns2="beb9fbcc-b310-497f-ae65-509234e38baf" xmlns:ns3="1962e455-0b7a-4a55-8ffa-a85df7123fcd" xmlns:ns4="1c5db96f-8037-4f21-84bf-574c13b65eb8" targetNamespace="http://schemas.microsoft.com/office/2006/metadata/properties" ma:root="true" ma:fieldsID="4b40722b6ee3c84cae9b319893905ffa" ns2:_="" ns3:_="" ns4:_="">
    <xsd:import namespace="beb9fbcc-b310-497f-ae65-509234e38baf"/>
    <xsd:import namespace="1962e455-0b7a-4a55-8ffa-a85df7123fcd"/>
    <xsd:import namespace="1c5db96f-8037-4f21-84bf-574c13b65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9fbcc-b310-497f-ae65-509234e38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834d4e-f9be-498e-8d46-8e639c7715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2e455-0b7a-4a55-8ffa-a85df7123f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5db96f-8037-4f21-84bf-574c13b65e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e4bac4f-1741-49e0-ba0d-afee3184a38d}" ma:internalName="TaxCatchAll" ma:showField="CatchAllData" ma:web="1c5db96f-8037-4f21-84bf-574c13b65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5db96f-8037-4f21-84bf-574c13b65eb8" xsi:nil="true"/>
    <lcf76f155ced4ddcb4097134ff3c332f xmlns="beb9fbcc-b310-497f-ae65-509234e38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DF4CD8-C62E-4994-A065-A5C8B6C5986C}">
  <ds:schemaRefs>
    <ds:schemaRef ds:uri="http://schemas.microsoft.com/sharepoint/v3/contenttype/forms"/>
  </ds:schemaRefs>
</ds:datastoreItem>
</file>

<file path=customXml/itemProps2.xml><?xml version="1.0" encoding="utf-8"?>
<ds:datastoreItem xmlns:ds="http://schemas.openxmlformats.org/officeDocument/2006/customXml" ds:itemID="{5215AEFF-4886-41B7-B79B-C4C961234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9fbcc-b310-497f-ae65-509234e38baf"/>
    <ds:schemaRef ds:uri="1962e455-0b7a-4a55-8ffa-a85df7123fcd"/>
    <ds:schemaRef ds:uri="1c5db96f-8037-4f21-84bf-574c13b65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704EB-ED80-4B12-A089-377918A85FD5}">
  <ds:schemaRefs>
    <ds:schemaRef ds:uri="http://schemas.microsoft.com/office/infopath/2007/PartnerControls"/>
    <ds:schemaRef ds:uri="http://schemas.microsoft.com/office/2006/metadata/properties"/>
    <ds:schemaRef ds:uri="1c5db96f-8037-4f21-84bf-574c13b65eb8"/>
    <ds:schemaRef ds:uri="http://purl.org/dc/elements/1.1/"/>
    <ds:schemaRef ds:uri="1962e455-0b7a-4a55-8ffa-a85df7123fcd"/>
    <ds:schemaRef ds:uri="http://schemas.microsoft.com/office/2006/documentManagement/types"/>
    <ds:schemaRef ds:uri="http://www.w3.org/XML/1998/namespace"/>
    <ds:schemaRef ds:uri="http://schemas.openxmlformats.org/package/2006/metadata/core-properties"/>
    <ds:schemaRef ds:uri="beb9fbcc-b310-497f-ae65-509234e38ba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Millie Russello</cp:lastModifiedBy>
  <cp:revision>2</cp:revision>
  <dcterms:created xsi:type="dcterms:W3CDTF">2024-05-13T10:26:00Z</dcterms:created>
  <dcterms:modified xsi:type="dcterms:W3CDTF">2024-05-13T10:26:00Z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0x010100FFB12BBFE7014C418A8B2257D6F44F10</vt:lpwstr>
  </property>
</Properties>
</file>